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7496A" w14:textId="2AA260E3" w:rsidR="00E53541" w:rsidRPr="00B55935" w:rsidRDefault="00E53541" w:rsidP="00E53541">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#92</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94667D">
        <w:rPr>
          <w:rFonts w:ascii="Calibri" w:eastAsia="新細明體" w:hAnsi="Calibri" w:cs="Arial"/>
          <w:noProof w:val="0"/>
          <w:sz w:val="24"/>
          <w:szCs w:val="24"/>
          <w:lang w:eastAsia="ja-JP"/>
        </w:rPr>
        <w:t>8181</w:t>
      </w:r>
    </w:p>
    <w:p w14:paraId="66F85B1F" w14:textId="77777777" w:rsidR="00E53541" w:rsidRPr="00FE72F2" w:rsidRDefault="00E53541" w:rsidP="00E53541">
      <w:pPr>
        <w:tabs>
          <w:tab w:val="left" w:pos="1985"/>
        </w:tabs>
        <w:jc w:val="both"/>
        <w:rPr>
          <w:rFonts w:ascii="Calibri" w:eastAsia="新細明體" w:hAnsi="Calibri"/>
          <w:sz w:val="24"/>
        </w:rPr>
      </w:pPr>
      <w:r w:rsidRPr="007A3942">
        <w:rPr>
          <w:rFonts w:ascii="Calibri" w:eastAsia="新細明體" w:hAnsi="Calibri" w:cs="Arial"/>
          <w:b/>
          <w:sz w:val="24"/>
          <w:szCs w:val="24"/>
          <w:lang w:eastAsia="ja-JP"/>
        </w:rPr>
        <w:t>Ljubljana, Slovenia</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August</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26</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30</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14:paraId="1CAD8A83" w14:textId="3B693BD2"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D220E7">
        <w:rPr>
          <w:rFonts w:cs="Arial"/>
          <w:b/>
          <w:bCs/>
        </w:rPr>
        <w:t>7</w:t>
      </w:r>
      <w:r w:rsidR="00F926BE">
        <w:rPr>
          <w:rFonts w:cs="Arial"/>
          <w:b/>
          <w:bCs/>
        </w:rPr>
        <w:t>.10.</w:t>
      </w:r>
      <w:r w:rsidR="005220E5">
        <w:rPr>
          <w:rFonts w:cs="Arial"/>
          <w:b/>
          <w:bCs/>
        </w:rPr>
        <w:t>7.5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CFE7DA9" w:rsidR="00174EC2" w:rsidRDefault="0034111C" w:rsidP="007A4FCF">
      <w:pPr>
        <w:ind w:left="1985" w:hanging="1985"/>
        <w:rPr>
          <w:rFonts w:cs="Arial"/>
          <w:b/>
          <w:bCs/>
        </w:rPr>
      </w:pPr>
      <w:r w:rsidRPr="000C45FD">
        <w:rPr>
          <w:rFonts w:cs="Arial"/>
          <w:b/>
          <w:bCs/>
        </w:rPr>
        <w:t>Title:</w:t>
      </w:r>
      <w:r w:rsidRPr="000C45FD">
        <w:rPr>
          <w:rFonts w:cs="Arial"/>
          <w:b/>
          <w:bCs/>
        </w:rPr>
        <w:tab/>
      </w:r>
      <w:r w:rsidR="006020B2">
        <w:rPr>
          <w:rFonts w:cs="Arial"/>
          <w:b/>
          <w:bCs/>
        </w:rPr>
        <w:t>C</w:t>
      </w:r>
      <w:r w:rsidR="006020B2" w:rsidRPr="006020B2">
        <w:rPr>
          <w:rFonts w:cs="Arial"/>
          <w:b/>
          <w:bCs/>
        </w:rPr>
        <w:t>larification</w:t>
      </w:r>
      <w:r w:rsidR="006020B2">
        <w:rPr>
          <w:rFonts w:cs="Arial"/>
          <w:b/>
          <w:bCs/>
        </w:rPr>
        <w:t>s</w:t>
      </w:r>
      <w:r w:rsidR="006020B2" w:rsidRPr="006020B2">
        <w:rPr>
          <w:rFonts w:cs="Arial"/>
          <w:b/>
          <w:bCs/>
        </w:rPr>
        <w:t xml:space="preserve"> </w:t>
      </w:r>
      <w:r w:rsidR="005220E5" w:rsidRPr="005220E5">
        <w:rPr>
          <w:rFonts w:cs="Arial"/>
          <w:b/>
          <w:bCs/>
        </w:rPr>
        <w:t>in BWP switch requirements</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32FC5B81" w14:textId="6337ADDA" w:rsidR="00A90CEE" w:rsidRPr="00E93B23" w:rsidRDefault="006020B2" w:rsidP="00A90CEE">
      <w:pPr>
        <w:spacing w:after="0"/>
        <w:jc w:val="both"/>
      </w:pPr>
      <w:r>
        <w:t xml:space="preserve">The BWP switch requirements in R15 are almost finalized. In this paper, we discuss some remaining </w:t>
      </w:r>
      <w:r w:rsidR="00BD65EB">
        <w:t>issues</w:t>
      </w:r>
      <w:r>
        <w:t xml:space="preserve"> for clarification</w:t>
      </w:r>
      <w:r w:rsidR="00BD65EB">
        <w:t xml:space="preserve">. </w:t>
      </w:r>
      <w:r w:rsidR="00BD65EB" w:rsidRPr="00751A6A">
        <w:t>We have another companion CR</w:t>
      </w:r>
      <w:r w:rsidR="00751A6A" w:rsidRPr="00751A6A">
        <w:t>s</w:t>
      </w:r>
      <w:r w:rsidR="00BD65EB" w:rsidRPr="00751A6A">
        <w:t xml:space="preserve"> to address these issues</w:t>
      </w:r>
      <w:r w:rsidR="00127B1D" w:rsidRPr="00751A6A">
        <w:t xml:space="preserve"> [4]</w:t>
      </w:r>
      <w:r w:rsidR="00751A6A" w:rsidRPr="00751A6A">
        <w:t>[5]</w:t>
      </w:r>
      <w:r w:rsidR="00BD65EB" w:rsidRPr="00751A6A">
        <w:t>.</w:t>
      </w:r>
    </w:p>
    <w:p w14:paraId="3A8ACA84" w14:textId="4D36E201" w:rsidR="0091441D" w:rsidRDefault="0091441D" w:rsidP="0091441D">
      <w:pPr>
        <w:pStyle w:val="Heading1"/>
        <w:numPr>
          <w:ilvl w:val="0"/>
          <w:numId w:val="2"/>
        </w:numPr>
        <w:rPr>
          <w:rFonts w:ascii="Calibri" w:hAnsi="Calibri"/>
        </w:rPr>
      </w:pPr>
      <w:r w:rsidRPr="0091441D">
        <w:rPr>
          <w:rFonts w:ascii="Calibri" w:hAnsi="Calibri"/>
        </w:rPr>
        <w:t>Discussion</w:t>
      </w:r>
    </w:p>
    <w:p w14:paraId="01B39C0D" w14:textId="77777777" w:rsidR="00931B82" w:rsidRPr="00931B82" w:rsidRDefault="00931B82" w:rsidP="00931B82">
      <w:pPr>
        <w:rPr>
          <w:lang w:val="en-GB" w:eastAsia="en-US"/>
        </w:rPr>
      </w:pPr>
    </w:p>
    <w:p w14:paraId="068F0F9F" w14:textId="2B00BB2D" w:rsidR="00206F6B" w:rsidRPr="006308D1" w:rsidRDefault="00931B82" w:rsidP="00931B82">
      <w:pPr>
        <w:pStyle w:val="Heading4"/>
        <w:rPr>
          <w:b/>
        </w:rPr>
      </w:pPr>
      <w:r w:rsidRPr="006308D1">
        <w:rPr>
          <w:b/>
        </w:rPr>
        <w:t>2.1 TCI-state</w:t>
      </w:r>
      <w:r w:rsidR="003839E4">
        <w:rPr>
          <w:b/>
        </w:rPr>
        <w:t xml:space="preserve"> activation and indication in new BWP</w:t>
      </w:r>
    </w:p>
    <w:p w14:paraId="1506FC1A" w14:textId="4E41D724" w:rsidR="0078176F" w:rsidRDefault="006308D1" w:rsidP="004715D4">
      <w:pPr>
        <w:jc w:val="both"/>
        <w:rPr>
          <w:lang w:val="en-GB" w:eastAsia="en-US"/>
        </w:rPr>
      </w:pPr>
      <w:r>
        <w:rPr>
          <w:lang w:val="en-GB" w:eastAsia="en-US"/>
        </w:rPr>
        <w:t>In this section, we begin with some background about TCI mechanism, then explain the issue and provide our solution.</w:t>
      </w:r>
    </w:p>
    <w:p w14:paraId="182D08B5" w14:textId="7FE4110B" w:rsidR="00025373" w:rsidRDefault="00616E4F" w:rsidP="004715D4">
      <w:pPr>
        <w:jc w:val="both"/>
        <w:rPr>
          <w:lang w:val="en-GB" w:eastAsia="en-US"/>
        </w:rPr>
      </w:pPr>
      <w:r>
        <w:rPr>
          <w:lang w:val="en-GB" w:eastAsia="en-US"/>
        </w:rPr>
        <w:t>TCI-state</w:t>
      </w:r>
      <w:r w:rsidR="006D4242">
        <w:rPr>
          <w:lang w:val="en-GB" w:eastAsia="en-US"/>
        </w:rPr>
        <w:t xml:space="preserve"> list</w:t>
      </w:r>
      <w:r>
        <w:rPr>
          <w:lang w:val="en-GB" w:eastAsia="en-US"/>
        </w:rPr>
        <w:t xml:space="preserve"> is per-BWP configured</w:t>
      </w:r>
      <w:r w:rsidR="00F146F4">
        <w:rPr>
          <w:lang w:val="en-GB" w:eastAsia="en-US"/>
        </w:rPr>
        <w:t xml:space="preserve"> by RRC</w:t>
      </w:r>
      <w:r>
        <w:rPr>
          <w:lang w:val="en-GB" w:eastAsia="en-US"/>
        </w:rPr>
        <w:t xml:space="preserve">. </w:t>
      </w:r>
      <w:r w:rsidR="00473CE5">
        <w:rPr>
          <w:lang w:val="en-GB" w:eastAsia="en-US"/>
        </w:rPr>
        <w:t>(</w:t>
      </w:r>
      <w:r w:rsidR="00473CE5" w:rsidRPr="00F7223D">
        <w:rPr>
          <w:rFonts w:ascii="Times New Roman" w:hAnsi="Times New Roman" w:cs="Times New Roman"/>
          <w:i/>
        </w:rPr>
        <w:t>BWP-Downlink</w:t>
      </w:r>
      <w:r w:rsidR="00473CE5">
        <w:t xml:space="preserve"> </w:t>
      </w:r>
      <w:r w:rsidR="00473CE5">
        <w:sym w:font="Wingdings" w:char="F0E0"/>
      </w:r>
      <w:r w:rsidR="00473CE5" w:rsidRPr="00473CE5">
        <w:t xml:space="preserve"> </w:t>
      </w:r>
      <w:r w:rsidR="00473CE5" w:rsidRPr="00F7223D">
        <w:rPr>
          <w:rFonts w:ascii="Times New Roman" w:hAnsi="Times New Roman" w:cs="Times New Roman"/>
          <w:i/>
        </w:rPr>
        <w:t>bwp-Dedicated</w:t>
      </w:r>
      <w:r w:rsidR="00473CE5">
        <w:sym w:font="Wingdings" w:char="F0E0"/>
      </w:r>
      <w:r w:rsidR="00473CE5">
        <w:t xml:space="preserve"> </w:t>
      </w:r>
      <w:r w:rsidR="00473CE5" w:rsidRPr="00F7223D">
        <w:rPr>
          <w:rFonts w:ascii="Times New Roman" w:hAnsi="Times New Roman" w:cs="Times New Roman"/>
          <w:i/>
        </w:rPr>
        <w:t>pdsch-Config</w:t>
      </w:r>
      <w:r w:rsidR="00473CE5">
        <w:t xml:space="preserve"> </w:t>
      </w:r>
      <w:r w:rsidR="00473CE5">
        <w:sym w:font="Wingdings" w:char="F0E0"/>
      </w:r>
      <w:r w:rsidR="00473CE5">
        <w:t xml:space="preserve"> </w:t>
      </w:r>
      <w:r w:rsidR="00473CE5" w:rsidRPr="00F7223D">
        <w:rPr>
          <w:rFonts w:ascii="Times New Roman" w:hAnsi="Times New Roman" w:cs="Times New Roman"/>
          <w:i/>
        </w:rPr>
        <w:t>tci-StatesToAddModList</w:t>
      </w:r>
      <w:r w:rsidR="00473CE5">
        <w:rPr>
          <w:lang w:val="en-GB" w:eastAsia="en-US"/>
        </w:rPr>
        <w:t>)</w:t>
      </w:r>
      <w:r w:rsidR="006D4242">
        <w:rPr>
          <w:lang w:val="en-GB" w:eastAsia="en-US"/>
        </w:rPr>
        <w:t xml:space="preserve">. Having this TCI-state list only may not be sufficient for UE to decode PDCCH and PDSCH. </w:t>
      </w:r>
      <w:r w:rsidR="00F67E21">
        <w:rPr>
          <w:lang w:val="en-GB" w:eastAsia="en-US"/>
        </w:rPr>
        <w:t>Further RRC/MAC/DCI are required to make the whole thing work.</w:t>
      </w:r>
    </w:p>
    <w:p w14:paraId="4651BD8C" w14:textId="79DEB240" w:rsidR="00025373" w:rsidRDefault="00025373" w:rsidP="00025373">
      <w:pPr>
        <w:pStyle w:val="ListParagraph"/>
        <w:numPr>
          <w:ilvl w:val="0"/>
          <w:numId w:val="44"/>
        </w:numPr>
        <w:jc w:val="both"/>
        <w:rPr>
          <w:lang w:val="en-GB"/>
        </w:rPr>
      </w:pPr>
      <w:r>
        <w:rPr>
          <w:lang w:val="en-GB"/>
        </w:rPr>
        <w:t>For PDCCH</w:t>
      </w:r>
    </w:p>
    <w:p w14:paraId="627E37FA" w14:textId="2B8F1DB0" w:rsidR="00931B82" w:rsidRPr="00025373" w:rsidRDefault="00FF5F72" w:rsidP="00025373">
      <w:pPr>
        <w:pStyle w:val="ListParagraph"/>
        <w:numPr>
          <w:ilvl w:val="1"/>
          <w:numId w:val="44"/>
        </w:numPr>
        <w:ind w:left="993"/>
        <w:jc w:val="both"/>
        <w:rPr>
          <w:lang w:val="en-GB"/>
        </w:rPr>
      </w:pPr>
      <w:r>
        <w:rPr>
          <w:lang w:val="en-GB"/>
        </w:rPr>
        <w:t>A subset of</w:t>
      </w:r>
      <w:r w:rsidR="00025373">
        <w:rPr>
          <w:lang w:val="en-GB"/>
        </w:rPr>
        <w:t xml:space="preserve"> TCI states in </w:t>
      </w:r>
      <w:r w:rsidRPr="00F7223D">
        <w:rPr>
          <w:rFonts w:ascii="Times New Roman" w:hAnsi="Times New Roman" w:cs="Times New Roman"/>
          <w:i/>
        </w:rPr>
        <w:t>tci-StatesToAddModList</w:t>
      </w:r>
      <w:r>
        <w:rPr>
          <w:lang w:val="en-GB"/>
        </w:rPr>
        <w:t xml:space="preserve"> </w:t>
      </w:r>
      <w:r w:rsidR="00025373">
        <w:rPr>
          <w:lang w:val="en-GB"/>
        </w:rPr>
        <w:t>need</w:t>
      </w:r>
      <w:r>
        <w:rPr>
          <w:lang w:val="en-GB"/>
        </w:rPr>
        <w:t>s</w:t>
      </w:r>
      <w:r w:rsidR="00025373">
        <w:rPr>
          <w:lang w:val="en-GB"/>
        </w:rPr>
        <w:t xml:space="preserve"> to be first included by RRC in</w:t>
      </w:r>
      <w:r w:rsidR="00F7223D">
        <w:rPr>
          <w:lang w:val="en-GB"/>
        </w:rPr>
        <w:t xml:space="preserve"> </w:t>
      </w:r>
      <w:r w:rsidR="00F7223D" w:rsidRPr="00F7223D">
        <w:rPr>
          <w:rFonts w:ascii="Times New Roman" w:hAnsi="Times New Roman" w:cs="Times New Roman"/>
          <w:i/>
          <w:lang w:eastAsia="zh-CN"/>
        </w:rPr>
        <w:t>ControlResourceSet</w:t>
      </w:r>
      <w:r w:rsidR="00F7223D" w:rsidRPr="00F7223D">
        <w:rPr>
          <w:lang w:val="en-GB"/>
        </w:rPr>
        <w:t xml:space="preserve"> </w:t>
      </w:r>
      <w:r w:rsidR="00F7223D" w:rsidRPr="00F7223D">
        <w:rPr>
          <w:lang w:val="en-GB"/>
        </w:rPr>
        <w:sym w:font="Wingdings" w:char="F0E0"/>
      </w:r>
      <w:r w:rsidR="00025373">
        <w:rPr>
          <w:lang w:val="en-GB"/>
        </w:rPr>
        <w:t xml:space="preserve"> </w:t>
      </w:r>
      <w:r w:rsidR="00025373" w:rsidRPr="00F7223D">
        <w:rPr>
          <w:rFonts w:ascii="Times New Roman" w:hAnsi="Times New Roman" w:cs="Times New Roman"/>
          <w:i/>
          <w:lang w:eastAsia="zh-CN"/>
        </w:rPr>
        <w:t>tci-StatesPDCCH-ToAddList</w:t>
      </w:r>
      <w:r w:rsidR="00025373">
        <w:t xml:space="preserve">.  </w:t>
      </w:r>
    </w:p>
    <w:p w14:paraId="6F6948DE" w14:textId="702C4B6E" w:rsidR="00025373" w:rsidRPr="004849AE" w:rsidRDefault="00025373" w:rsidP="00025373">
      <w:pPr>
        <w:pStyle w:val="ListParagraph"/>
        <w:numPr>
          <w:ilvl w:val="1"/>
          <w:numId w:val="44"/>
        </w:numPr>
        <w:ind w:left="993"/>
        <w:jc w:val="both"/>
        <w:rPr>
          <w:lang w:val="en-GB"/>
        </w:rPr>
      </w:pPr>
      <w:r>
        <w:rPr>
          <w:lang w:val="en-GB"/>
        </w:rPr>
        <w:t xml:space="preserve">Then the MAC CE </w:t>
      </w:r>
      <w:r w:rsidR="00311E90">
        <w:rPr>
          <w:lang w:val="en-GB"/>
        </w:rPr>
        <w:t xml:space="preserve">will indicate a specific TCI state </w:t>
      </w:r>
      <w:r w:rsidR="004849AE">
        <w:rPr>
          <w:lang w:val="en-GB"/>
        </w:rPr>
        <w:t xml:space="preserve">from </w:t>
      </w:r>
      <w:r w:rsidR="004849AE" w:rsidRPr="00F7223D">
        <w:rPr>
          <w:rFonts w:ascii="Times New Roman" w:hAnsi="Times New Roman" w:cs="Times New Roman"/>
          <w:i/>
          <w:lang w:eastAsia="zh-CN"/>
        </w:rPr>
        <w:t>tci-StatesPDCCH-ToAddList</w:t>
      </w:r>
      <w:r w:rsidR="004849AE">
        <w:rPr>
          <w:lang w:val="en-GB"/>
        </w:rPr>
        <w:t xml:space="preserve"> </w:t>
      </w:r>
      <w:r w:rsidR="00311E90">
        <w:rPr>
          <w:lang w:val="en-GB"/>
        </w:rPr>
        <w:t xml:space="preserve">for UE to monitor PDCCH, according to Section </w:t>
      </w:r>
      <w:r w:rsidR="00311E90" w:rsidRPr="000B541D">
        <w:rPr>
          <w:lang w:eastAsia="ko-KR"/>
        </w:rPr>
        <w:t>6.1.3.15</w:t>
      </w:r>
      <w:r w:rsidR="00311E90">
        <w:rPr>
          <w:lang w:eastAsia="ko-KR"/>
        </w:rPr>
        <w:t xml:space="preserve"> of TS38.321</w:t>
      </w:r>
      <w:r w:rsidR="00FF5F72">
        <w:rPr>
          <w:lang w:eastAsia="ko-KR"/>
        </w:rPr>
        <w:t>.</w:t>
      </w:r>
    </w:p>
    <w:p w14:paraId="6D2D2DED" w14:textId="535DF79A" w:rsidR="004849AE" w:rsidRPr="004849AE" w:rsidRDefault="004849AE" w:rsidP="004849AE">
      <w:pPr>
        <w:pStyle w:val="ListParagraph"/>
        <w:numPr>
          <w:ilvl w:val="0"/>
          <w:numId w:val="44"/>
        </w:numPr>
        <w:jc w:val="both"/>
        <w:rPr>
          <w:lang w:val="en-GB"/>
        </w:rPr>
      </w:pPr>
      <w:r>
        <w:rPr>
          <w:lang w:eastAsia="ko-KR"/>
        </w:rPr>
        <w:t>For PDSCH</w:t>
      </w:r>
    </w:p>
    <w:p w14:paraId="0561407D" w14:textId="39CD73C7" w:rsidR="00FF5F72" w:rsidRPr="00FF5F72" w:rsidRDefault="004849AE" w:rsidP="004849AE">
      <w:pPr>
        <w:pStyle w:val="ListParagraph"/>
        <w:numPr>
          <w:ilvl w:val="1"/>
          <w:numId w:val="44"/>
        </w:numPr>
        <w:ind w:left="993"/>
        <w:jc w:val="both"/>
        <w:rPr>
          <w:lang w:val="en-GB"/>
        </w:rPr>
      </w:pPr>
      <w:r>
        <w:rPr>
          <w:lang w:eastAsia="ko-KR"/>
        </w:rPr>
        <w:t xml:space="preserve">The MAC CE will </w:t>
      </w:r>
      <w:r w:rsidR="00FF5F72">
        <w:rPr>
          <w:lang w:eastAsia="ko-KR"/>
        </w:rPr>
        <w:t>first activate</w:t>
      </w:r>
      <w:r>
        <w:rPr>
          <w:lang w:eastAsia="ko-KR"/>
        </w:rPr>
        <w:t xml:space="preserve"> a </w:t>
      </w:r>
      <w:r w:rsidR="00FF5F72">
        <w:rPr>
          <w:lang w:eastAsia="ko-KR"/>
        </w:rPr>
        <w:t xml:space="preserve">subset of TCI-state in </w:t>
      </w:r>
      <w:r w:rsidR="00FF5F72" w:rsidRPr="00F7223D">
        <w:rPr>
          <w:rFonts w:ascii="Times New Roman" w:hAnsi="Times New Roman" w:cs="Times New Roman"/>
          <w:i/>
        </w:rPr>
        <w:t>tci-StatesToAddModList</w:t>
      </w:r>
      <w:r w:rsidR="00FF5F72" w:rsidRPr="00FF5F72">
        <w:rPr>
          <w:lang w:val="en-GB"/>
        </w:rPr>
        <w:t>, according to</w:t>
      </w:r>
      <w:r w:rsidR="00FF5F72">
        <w:rPr>
          <w:lang w:val="en-GB"/>
        </w:rPr>
        <w:t xml:space="preserve"> Section </w:t>
      </w:r>
      <w:r w:rsidR="00FF5F72" w:rsidRPr="000B541D">
        <w:rPr>
          <w:lang w:eastAsia="ko-KR"/>
        </w:rPr>
        <w:t>6.1.3.14</w:t>
      </w:r>
      <w:r w:rsidR="00FF5F72">
        <w:rPr>
          <w:lang w:eastAsia="ko-KR"/>
        </w:rPr>
        <w:t xml:space="preserve"> of TS38.321.</w:t>
      </w:r>
    </w:p>
    <w:p w14:paraId="7947D25B" w14:textId="128BA6F6" w:rsidR="004849AE" w:rsidRPr="00025373" w:rsidRDefault="00FF5F72" w:rsidP="004849AE">
      <w:pPr>
        <w:pStyle w:val="ListParagraph"/>
        <w:numPr>
          <w:ilvl w:val="1"/>
          <w:numId w:val="44"/>
        </w:numPr>
        <w:ind w:left="993"/>
        <w:jc w:val="both"/>
        <w:rPr>
          <w:lang w:val="en-GB"/>
        </w:rPr>
      </w:pPr>
      <w:r>
        <w:rPr>
          <w:lang w:eastAsia="ko-KR"/>
        </w:rPr>
        <w:t xml:space="preserve">Then DCI will indicate the </w:t>
      </w:r>
      <w:r w:rsidR="00C0116E">
        <w:rPr>
          <w:lang w:eastAsia="ko-KR"/>
        </w:rPr>
        <w:t xml:space="preserve">TCI-state to be used to decode PDSCH through </w:t>
      </w:r>
      <w:r w:rsidR="00C0116E" w:rsidRPr="00C0116E">
        <w:rPr>
          <w:rFonts w:hint="eastAsia"/>
          <w:i/>
          <w:lang w:eastAsia="zh-CN"/>
        </w:rPr>
        <w:t>Transmission configuration indication</w:t>
      </w:r>
      <w:r w:rsidR="00C0116E">
        <w:rPr>
          <w:lang w:eastAsia="zh-CN"/>
        </w:rPr>
        <w:t>, according to TS38.212.</w:t>
      </w:r>
      <w:r>
        <w:rPr>
          <w:lang w:eastAsia="ko-KR"/>
        </w:rPr>
        <w:t xml:space="preserve"> </w:t>
      </w:r>
      <w:r>
        <w:rPr>
          <w:rFonts w:ascii="Times New Roman" w:hAnsi="Times New Roman" w:cs="Times New Roman"/>
          <w:i/>
        </w:rPr>
        <w:t xml:space="preserve"> </w:t>
      </w:r>
    </w:p>
    <w:p w14:paraId="3781CC40" w14:textId="395D93E5" w:rsidR="003A28F0" w:rsidRDefault="0078176F" w:rsidP="00931B82">
      <w:pPr>
        <w:rPr>
          <w:lang w:val="en-GB" w:eastAsia="en-US"/>
        </w:rPr>
      </w:pPr>
      <w:r>
        <w:rPr>
          <w:lang w:val="en-GB" w:eastAsia="en-US"/>
        </w:rPr>
        <w:t xml:space="preserve">The steps for how TCI-state is assumed for UE to decode PDCCH and PDSCH are illustrated in </w:t>
      </w:r>
      <w:r>
        <w:rPr>
          <w:lang w:val="en-GB" w:eastAsia="en-US"/>
        </w:rPr>
        <w:fldChar w:fldCharType="begin"/>
      </w:r>
      <w:r>
        <w:rPr>
          <w:lang w:val="en-GB" w:eastAsia="en-US"/>
        </w:rPr>
        <w:instrText xml:space="preserve"> REF _Ref16676278 \h </w:instrText>
      </w:r>
      <w:r>
        <w:rPr>
          <w:lang w:val="en-GB" w:eastAsia="en-US"/>
        </w:rPr>
      </w:r>
      <w:r>
        <w:rPr>
          <w:lang w:val="en-GB" w:eastAsia="en-US"/>
        </w:rPr>
        <w:fldChar w:fldCharType="separate"/>
      </w:r>
      <w:r>
        <w:t xml:space="preserve">Figure </w:t>
      </w:r>
      <w:r>
        <w:rPr>
          <w:noProof/>
        </w:rPr>
        <w:t>1</w:t>
      </w:r>
      <w:r>
        <w:rPr>
          <w:lang w:val="en-GB" w:eastAsia="en-US"/>
        </w:rPr>
        <w:fldChar w:fldCharType="end"/>
      </w:r>
      <w:r>
        <w:rPr>
          <w:lang w:val="en-GB" w:eastAsia="en-US"/>
        </w:rPr>
        <w:t>.</w:t>
      </w:r>
    </w:p>
    <w:p w14:paraId="167E85C4" w14:textId="149621EA" w:rsidR="0078176F" w:rsidRDefault="00717CCF" w:rsidP="00717CCF">
      <w:pPr>
        <w:jc w:val="center"/>
        <w:rPr>
          <w:lang w:val="en-GB" w:eastAsia="en-US"/>
        </w:rPr>
      </w:pPr>
      <w:r w:rsidRPr="00717CCF">
        <w:rPr>
          <w:noProof/>
          <w:lang w:eastAsia="zh-TW"/>
        </w:rPr>
        <w:drawing>
          <wp:inline distT="0" distB="0" distL="0" distR="0" wp14:anchorId="365EE456" wp14:editId="57DA9F68">
            <wp:extent cx="5697675" cy="16605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2384" cy="1664793"/>
                    </a:xfrm>
                    <a:prstGeom prst="rect">
                      <a:avLst/>
                    </a:prstGeom>
                    <a:noFill/>
                    <a:ln>
                      <a:noFill/>
                    </a:ln>
                  </pic:spPr>
                </pic:pic>
              </a:graphicData>
            </a:graphic>
          </wp:inline>
        </w:drawing>
      </w:r>
    </w:p>
    <w:p w14:paraId="60EE5DC7" w14:textId="142D4B51" w:rsidR="0078176F" w:rsidRDefault="0078176F" w:rsidP="0078176F">
      <w:pPr>
        <w:pStyle w:val="Caption"/>
        <w:jc w:val="center"/>
        <w:rPr>
          <w:lang w:val="en-GB" w:eastAsia="en-US"/>
        </w:rPr>
      </w:pPr>
      <w:bookmarkStart w:id="0" w:name="_Ref16676278"/>
      <w:r>
        <w:t xml:space="preserve">Figure </w:t>
      </w:r>
      <w:r w:rsidR="001653D1">
        <w:rPr>
          <w:noProof/>
        </w:rPr>
        <w:fldChar w:fldCharType="begin"/>
      </w:r>
      <w:r w:rsidR="001653D1">
        <w:rPr>
          <w:noProof/>
        </w:rPr>
        <w:instrText xml:space="preserve"> SEQ Figure \* ARABIC </w:instrText>
      </w:r>
      <w:r w:rsidR="001653D1">
        <w:rPr>
          <w:noProof/>
        </w:rPr>
        <w:fldChar w:fldCharType="separate"/>
      </w:r>
      <w:r>
        <w:rPr>
          <w:noProof/>
        </w:rPr>
        <w:t>1</w:t>
      </w:r>
      <w:r w:rsidR="001653D1">
        <w:rPr>
          <w:noProof/>
        </w:rPr>
        <w:fldChar w:fldCharType="end"/>
      </w:r>
      <w:bookmarkEnd w:id="0"/>
      <w:r>
        <w:t xml:space="preserve">. </w:t>
      </w:r>
      <w:r>
        <w:rPr>
          <w:lang w:val="en-GB" w:eastAsia="en-US"/>
        </w:rPr>
        <w:t>Steps for how TCI-state is assumed for UE to decode PDCCH and PDSCH</w:t>
      </w:r>
    </w:p>
    <w:p w14:paraId="738A14ED" w14:textId="77777777" w:rsidR="00717CCF" w:rsidRDefault="00717CCF" w:rsidP="00931B82">
      <w:pPr>
        <w:rPr>
          <w:lang w:val="en-GB" w:eastAsia="en-US"/>
        </w:rPr>
      </w:pPr>
    </w:p>
    <w:p w14:paraId="0EDE699A" w14:textId="571892DF" w:rsidR="0078176F" w:rsidRDefault="006308D1" w:rsidP="00D30032">
      <w:pPr>
        <w:jc w:val="both"/>
        <w:rPr>
          <w:lang w:val="en-GB" w:eastAsia="en-US"/>
        </w:rPr>
      </w:pPr>
      <w:r>
        <w:rPr>
          <w:lang w:val="en-GB" w:eastAsia="en-US"/>
        </w:rPr>
        <w:t xml:space="preserve">The issue of TCI-state in BWP switch was mentioned in [1] and discussed in last RAN4 meeting without conclusions. </w:t>
      </w:r>
      <w:r w:rsidR="00D30032">
        <w:rPr>
          <w:lang w:val="en-GB" w:eastAsia="en-US"/>
        </w:rPr>
        <w:t xml:space="preserve">In </w:t>
      </w:r>
      <w:r w:rsidR="00D30032">
        <w:rPr>
          <w:lang w:val="en-GB" w:eastAsia="en-US"/>
        </w:rPr>
        <w:fldChar w:fldCharType="begin"/>
      </w:r>
      <w:r w:rsidR="00D30032">
        <w:rPr>
          <w:lang w:val="en-GB" w:eastAsia="en-US"/>
        </w:rPr>
        <w:instrText xml:space="preserve"> REF _Ref16676278 \h </w:instrText>
      </w:r>
      <w:r w:rsidR="00D30032">
        <w:rPr>
          <w:lang w:val="en-GB" w:eastAsia="en-US"/>
        </w:rPr>
      </w:r>
      <w:r w:rsidR="00D30032">
        <w:rPr>
          <w:lang w:val="en-GB" w:eastAsia="en-US"/>
        </w:rPr>
        <w:fldChar w:fldCharType="separate"/>
      </w:r>
      <w:r w:rsidR="00D30032">
        <w:t xml:space="preserve">Figure </w:t>
      </w:r>
      <w:r w:rsidR="00D30032">
        <w:rPr>
          <w:noProof/>
        </w:rPr>
        <w:t>1</w:t>
      </w:r>
      <w:r w:rsidR="00D30032">
        <w:rPr>
          <w:lang w:val="en-GB" w:eastAsia="en-US"/>
        </w:rPr>
        <w:fldChar w:fldCharType="end"/>
      </w:r>
      <w:r w:rsidR="00D30032">
        <w:rPr>
          <w:lang w:val="en-GB" w:eastAsia="en-US"/>
        </w:rPr>
        <w:t xml:space="preserve">, </w:t>
      </w:r>
      <w:r w:rsidR="00717CCF">
        <w:rPr>
          <w:lang w:val="en-GB" w:eastAsia="en-US"/>
        </w:rPr>
        <w:t>the</w:t>
      </w:r>
      <w:r w:rsidR="00D30032">
        <w:rPr>
          <w:lang w:val="en-GB" w:eastAsia="en-US"/>
        </w:rPr>
        <w:t xml:space="preserve"> source</w:t>
      </w:r>
      <w:r w:rsidR="00717CCF">
        <w:rPr>
          <w:lang w:val="en-GB" w:eastAsia="en-US"/>
        </w:rPr>
        <w:t xml:space="preserve"> TCI-state list is per-BWP configured</w:t>
      </w:r>
      <w:r w:rsidR="00D30032">
        <w:rPr>
          <w:lang w:val="en-GB" w:eastAsia="en-US"/>
        </w:rPr>
        <w:t xml:space="preserve">. This means it is possible that 2 BWP configurations have completely different TCI-state lists. In this case, there will be problem for UE to decode PDCCH and PDSCH after BWP switch. Because UE needs to first </w:t>
      </w:r>
      <w:r w:rsidR="009F4E22">
        <w:rPr>
          <w:lang w:val="en-GB" w:eastAsia="en-US"/>
        </w:rPr>
        <w:t>receive</w:t>
      </w:r>
      <w:r w:rsidR="00D30032">
        <w:rPr>
          <w:lang w:val="en-GB" w:eastAsia="en-US"/>
        </w:rPr>
        <w:t xml:space="preserve"> MAC CE to get the required information for TCI-state before decoding PDCCH and PDSCH. However, MAC CE itself is carried by PDSCH which is scheduled by PDCCH.</w:t>
      </w:r>
      <w:r w:rsidR="00A0115D">
        <w:rPr>
          <w:lang w:val="en-GB" w:eastAsia="en-US"/>
        </w:rPr>
        <w:t xml:space="preserve"> Then, which TCI state should be assumed by UE to decode PDCCH and PDSCH which carry MAC CE?</w:t>
      </w:r>
      <w:r w:rsidR="00D30032">
        <w:rPr>
          <w:lang w:val="en-GB" w:eastAsia="en-US"/>
        </w:rPr>
        <w:t xml:space="preserve"> This becomes a chicken and egg problem. </w:t>
      </w:r>
    </w:p>
    <w:p w14:paraId="0A05B0D0" w14:textId="4F09A82E" w:rsidR="00A0115D" w:rsidRPr="0015021D" w:rsidRDefault="00A0115D" w:rsidP="00D30032">
      <w:pPr>
        <w:jc w:val="both"/>
        <w:rPr>
          <w:rFonts w:eastAsia="新細明體"/>
          <w:lang w:val="en-GB" w:eastAsia="zh-TW"/>
        </w:rPr>
      </w:pPr>
      <w:r>
        <w:rPr>
          <w:lang w:val="en-GB" w:eastAsia="en-US"/>
        </w:rPr>
        <w:t>To resolve this issue, we propose several possible solutions.</w:t>
      </w:r>
      <w:r w:rsidR="0015021D">
        <w:rPr>
          <w:lang w:val="en-GB" w:eastAsia="en-US"/>
        </w:rPr>
        <w:t xml:space="preserve"> Note that all below solutions are not mutually exclusive to one another. </w:t>
      </w:r>
    </w:p>
    <w:p w14:paraId="175CDBB4" w14:textId="4A1BAA8D" w:rsidR="00A0115D" w:rsidRDefault="00A0115D" w:rsidP="00A0115D">
      <w:pPr>
        <w:pStyle w:val="ListParagraph"/>
        <w:numPr>
          <w:ilvl w:val="0"/>
          <w:numId w:val="45"/>
        </w:numPr>
        <w:jc w:val="both"/>
        <w:rPr>
          <w:lang w:val="en-GB"/>
        </w:rPr>
      </w:pPr>
      <w:r>
        <w:rPr>
          <w:lang w:val="en-GB"/>
        </w:rPr>
        <w:t>Solution 1:</w:t>
      </w:r>
      <w:r w:rsidR="0015021D">
        <w:rPr>
          <w:lang w:val="en-GB"/>
        </w:rPr>
        <w:t xml:space="preserve"> If TCI-state lists for different BWP configurations are all the same, then this issues is completely avoid. The activated or indicated TCI-state in old BWP can directly be reused in new BWP without any further update by MAC CE.</w:t>
      </w:r>
    </w:p>
    <w:p w14:paraId="0CCE56B0" w14:textId="0A010589" w:rsidR="00A0115D" w:rsidRDefault="00A0115D" w:rsidP="00A0115D">
      <w:pPr>
        <w:pStyle w:val="ListParagraph"/>
        <w:numPr>
          <w:ilvl w:val="0"/>
          <w:numId w:val="45"/>
        </w:numPr>
        <w:jc w:val="both"/>
        <w:rPr>
          <w:lang w:val="en-GB"/>
        </w:rPr>
      </w:pPr>
      <w:r>
        <w:rPr>
          <w:lang w:val="en-GB"/>
        </w:rPr>
        <w:t xml:space="preserve">Solution 2: </w:t>
      </w:r>
      <w:r w:rsidR="0015021D">
        <w:rPr>
          <w:lang w:val="en-GB"/>
        </w:rPr>
        <w:t xml:space="preserve">UE anyway assumes the TCI-states used in old BWP </w:t>
      </w:r>
      <w:r w:rsidR="00533E99">
        <w:rPr>
          <w:lang w:val="en-GB"/>
        </w:rPr>
        <w:t>before</w:t>
      </w:r>
      <w:r w:rsidR="0015021D">
        <w:rPr>
          <w:lang w:val="en-GB"/>
        </w:rPr>
        <w:t xml:space="preserve"> network provides the MAC-CE to indicate the TCI for PDCCH and activate the TCI for PDSCH in new BWP.</w:t>
      </w:r>
    </w:p>
    <w:p w14:paraId="62E06139" w14:textId="51690633" w:rsidR="00A0115D" w:rsidRDefault="00A0115D" w:rsidP="00A0115D">
      <w:pPr>
        <w:pStyle w:val="ListParagraph"/>
        <w:numPr>
          <w:ilvl w:val="0"/>
          <w:numId w:val="45"/>
        </w:numPr>
        <w:jc w:val="both"/>
        <w:rPr>
          <w:lang w:val="en-GB"/>
        </w:rPr>
      </w:pPr>
      <w:r>
        <w:rPr>
          <w:lang w:val="en-GB"/>
        </w:rPr>
        <w:t xml:space="preserve">Solution 3: </w:t>
      </w:r>
      <w:r w:rsidR="0015021D">
        <w:rPr>
          <w:lang w:val="en-GB"/>
        </w:rPr>
        <w:t xml:space="preserve">Network provides a MAC CE </w:t>
      </w:r>
      <w:r w:rsidR="0015021D" w:rsidRPr="0015021D">
        <w:rPr>
          <w:u w:val="single"/>
          <w:lang w:val="en-GB"/>
        </w:rPr>
        <w:t>before</w:t>
      </w:r>
      <w:r w:rsidR="0015021D">
        <w:rPr>
          <w:lang w:val="en-GB"/>
        </w:rPr>
        <w:t xml:space="preserve"> BWP switch to indicate the TCI for PDCCH and activate the TCI for PDSCH in new BWP. This solution is now allowed in spec according to TS38.321. </w:t>
      </w:r>
    </w:p>
    <w:p w14:paraId="019728E9" w14:textId="6E470F1C" w:rsidR="00BA069B" w:rsidRPr="00BA069B" w:rsidRDefault="00BA069B" w:rsidP="00BA069B">
      <w:pPr>
        <w:pStyle w:val="ListParagraph"/>
        <w:numPr>
          <w:ilvl w:val="1"/>
          <w:numId w:val="45"/>
        </w:numPr>
        <w:jc w:val="both"/>
        <w:rPr>
          <w:lang w:val="en-GB"/>
        </w:rPr>
      </w:pPr>
      <w:r w:rsidRPr="00E44C9E">
        <w:rPr>
          <w:lang w:val="en-GB"/>
        </w:rPr>
        <w:t>For TCI state indication for UE-specific PDCCH MAC CE, there is a field to indicate the CORESET ID. The ID space is used across the BWPs of a serving cell, according to TS38.331.</w:t>
      </w:r>
    </w:p>
    <w:tbl>
      <w:tblPr>
        <w:tblStyle w:val="TableGrid"/>
        <w:tblW w:w="0" w:type="auto"/>
        <w:tblInd w:w="1555" w:type="dxa"/>
        <w:tblLook w:val="04A0" w:firstRow="1" w:lastRow="0" w:firstColumn="1" w:lastColumn="0" w:noHBand="0" w:noVBand="1"/>
      </w:tblPr>
      <w:tblGrid>
        <w:gridCol w:w="8074"/>
      </w:tblGrid>
      <w:tr w:rsidR="00BA069B" w14:paraId="6909352F" w14:textId="77777777" w:rsidTr="00EA372B">
        <w:tc>
          <w:tcPr>
            <w:tcW w:w="8074" w:type="dxa"/>
          </w:tcPr>
          <w:p w14:paraId="5E769ADD" w14:textId="77777777" w:rsidR="00BA069B" w:rsidRPr="00EA372B" w:rsidRDefault="00BA069B" w:rsidP="00FF628E">
            <w:pPr>
              <w:pStyle w:val="Heading4"/>
              <w:numPr>
                <w:ilvl w:val="0"/>
                <w:numId w:val="46"/>
              </w:numPr>
              <w:jc w:val="both"/>
              <w:rPr>
                <w:i/>
                <w:noProof/>
                <w:sz w:val="20"/>
              </w:rPr>
            </w:pPr>
            <w:r w:rsidRPr="00EA372B">
              <w:rPr>
                <w:i/>
                <w:sz w:val="20"/>
              </w:rPr>
              <w:t>ControlResourceSetId</w:t>
            </w:r>
          </w:p>
          <w:p w14:paraId="137E22C9" w14:textId="6E711EC7" w:rsidR="00BA069B" w:rsidRDefault="00BA069B" w:rsidP="00BA069B">
            <w:pPr>
              <w:pStyle w:val="ListParagraph"/>
              <w:ind w:left="0"/>
              <w:jc w:val="both"/>
              <w:rPr>
                <w:lang w:val="en-GB"/>
              </w:rPr>
            </w:pPr>
            <w:r w:rsidRPr="00EA372B">
              <w:rPr>
                <w:sz w:val="18"/>
              </w:rPr>
              <w:t xml:space="preserve">The </w:t>
            </w:r>
            <w:r w:rsidRPr="00EA372B">
              <w:rPr>
                <w:i/>
                <w:sz w:val="18"/>
              </w:rPr>
              <w:t>ControlResourceSetId</w:t>
            </w:r>
            <w:r w:rsidRPr="00EA372B">
              <w:rPr>
                <w:sz w:val="18"/>
              </w:rPr>
              <w:t xml:space="preserve"> IE concerns a short identity, used to identify a control resource set within a serving cell. The </w:t>
            </w:r>
            <w:r w:rsidRPr="00EA372B">
              <w:rPr>
                <w:i/>
                <w:sz w:val="18"/>
              </w:rPr>
              <w:t xml:space="preserve">ControlResourceSetId </w:t>
            </w:r>
            <w:r w:rsidRPr="00EA372B">
              <w:rPr>
                <w:sz w:val="18"/>
              </w:rPr>
              <w:t>= 0 identifies the ControlResourceSet#0 configured via PBCH (MIB) and in controlResourceSetZero (ServingCellConfigCommon). The ID space is used across the BWPs of a Serving Cell. The number of CORESETs per BWP is limited to 3 (including common and UE-specific CORESETs).</w:t>
            </w:r>
          </w:p>
        </w:tc>
      </w:tr>
    </w:tbl>
    <w:p w14:paraId="3EBEB027" w14:textId="77777777" w:rsidR="00BA069B" w:rsidRPr="00A0115D" w:rsidRDefault="00BA069B" w:rsidP="00BA069B">
      <w:pPr>
        <w:pStyle w:val="ListParagraph"/>
        <w:ind w:left="1724"/>
        <w:jc w:val="both"/>
        <w:rPr>
          <w:lang w:val="en-GB"/>
        </w:rPr>
      </w:pPr>
    </w:p>
    <w:p w14:paraId="451FBBE0" w14:textId="4A3D0326" w:rsidR="0015021D" w:rsidRPr="00BA069B" w:rsidRDefault="0015021D" w:rsidP="0015021D">
      <w:pPr>
        <w:pStyle w:val="ListParagraph"/>
        <w:numPr>
          <w:ilvl w:val="1"/>
          <w:numId w:val="45"/>
        </w:numPr>
        <w:jc w:val="both"/>
        <w:rPr>
          <w:lang w:val="en-GB"/>
        </w:rPr>
      </w:pPr>
      <w:r>
        <w:rPr>
          <w:lang w:val="en-GB"/>
        </w:rPr>
        <w:t xml:space="preserve">For </w:t>
      </w:r>
      <w:r w:rsidRPr="0015021D">
        <w:rPr>
          <w:lang w:val="en-GB"/>
        </w:rPr>
        <w:t xml:space="preserve">TCI </w:t>
      </w:r>
      <w:r w:rsidR="00BA069B">
        <w:rPr>
          <w:lang w:val="en-GB"/>
        </w:rPr>
        <w:t>s</w:t>
      </w:r>
      <w:r w:rsidRPr="0015021D">
        <w:rPr>
          <w:lang w:val="en-GB"/>
        </w:rPr>
        <w:t xml:space="preserve">tates </w:t>
      </w:r>
      <w:r>
        <w:rPr>
          <w:lang w:val="en-GB"/>
        </w:rPr>
        <w:t>a</w:t>
      </w:r>
      <w:r w:rsidRPr="0015021D">
        <w:rPr>
          <w:lang w:val="en-GB"/>
        </w:rPr>
        <w:t>ctivation for UE-specific PDSCH MAC CE</w:t>
      </w:r>
      <w:r>
        <w:rPr>
          <w:lang w:val="en-GB"/>
        </w:rPr>
        <w:t xml:space="preserve">, there is a field to indicate the DL BWP for which </w:t>
      </w:r>
      <w:r w:rsidR="009C0A87" w:rsidRPr="00D543E8">
        <w:rPr>
          <w:lang w:val="en-GB"/>
        </w:rPr>
        <w:t>this MAC CE applies.</w:t>
      </w:r>
    </w:p>
    <w:p w14:paraId="2A857558" w14:textId="77777777" w:rsidR="001F449B" w:rsidRDefault="005877FB" w:rsidP="005877FB">
      <w:pPr>
        <w:jc w:val="both"/>
        <w:rPr>
          <w:lang w:val="en-GB"/>
        </w:rPr>
      </w:pPr>
      <w:r>
        <w:rPr>
          <w:lang w:val="en-GB"/>
        </w:rPr>
        <w:t>In our understanding, Solutions 1 and 3 mean that UE has the information about indicated TCI state for PDCCH and activated TCI state for PDSCH of the new BWP before BWP switch. Solution 2 means UE has no such information so that a certain UE assumption is needed before UE receive</w:t>
      </w:r>
      <w:r w:rsidR="001F449B">
        <w:rPr>
          <w:lang w:val="en-GB"/>
        </w:rPr>
        <w:t>s</w:t>
      </w:r>
      <w:r>
        <w:rPr>
          <w:lang w:val="en-GB"/>
        </w:rPr>
        <w:t xml:space="preserve"> a TCI update via MAC CE.</w:t>
      </w:r>
      <w:r w:rsidR="001F449B">
        <w:rPr>
          <w:lang w:val="en-GB"/>
        </w:rPr>
        <w:t xml:space="preserve"> Therefore, we believe that a general rule can be concluded</w:t>
      </w:r>
    </w:p>
    <w:p w14:paraId="33B1FEA4" w14:textId="309D9702" w:rsidR="001F449B" w:rsidRPr="001F449B" w:rsidRDefault="001F449B" w:rsidP="001F449B">
      <w:pPr>
        <w:ind w:left="284"/>
        <w:rPr>
          <w:i/>
          <w:lang w:eastAsia="en-US"/>
        </w:rPr>
      </w:pPr>
      <w:r w:rsidRPr="001F449B">
        <w:rPr>
          <w:i/>
          <w:lang w:val="en-GB" w:eastAsia="en-US"/>
        </w:rPr>
        <w:t>If UE does not have the information on the indicated TCI-state to decode PDCCH and activated TCI-state to decode PDSCH in the new BWP, UE re-uses those TCI-state</w:t>
      </w:r>
      <w:r w:rsidR="00652356">
        <w:rPr>
          <w:i/>
          <w:lang w:val="en-GB" w:eastAsia="en-US"/>
        </w:rPr>
        <w:t>s</w:t>
      </w:r>
      <w:r w:rsidRPr="001F449B">
        <w:rPr>
          <w:i/>
          <w:lang w:val="en-GB" w:eastAsia="en-US"/>
        </w:rPr>
        <w:t xml:space="preserve"> in old BWP </w:t>
      </w:r>
      <w:r w:rsidR="00354567">
        <w:rPr>
          <w:i/>
          <w:lang w:val="en-GB" w:eastAsia="en-US"/>
        </w:rPr>
        <w:t>before</w:t>
      </w:r>
      <w:r w:rsidRPr="001F449B">
        <w:rPr>
          <w:i/>
          <w:lang w:val="en-GB" w:eastAsia="en-US"/>
        </w:rPr>
        <w:t xml:space="preserve"> new MAC CE is received to update the TCI-s</w:t>
      </w:r>
      <w:r w:rsidR="00652356">
        <w:rPr>
          <w:i/>
          <w:lang w:val="en-GB" w:eastAsia="en-US"/>
        </w:rPr>
        <w:t>t</w:t>
      </w:r>
      <w:r w:rsidRPr="001F449B">
        <w:rPr>
          <w:i/>
          <w:lang w:val="en-GB" w:eastAsia="en-US"/>
        </w:rPr>
        <w:t>ates for PDCCH and PDSCH.</w:t>
      </w:r>
    </w:p>
    <w:p w14:paraId="2A55A047" w14:textId="5FFC0914" w:rsidR="00BA069B" w:rsidRPr="001F449B" w:rsidRDefault="001F449B" w:rsidP="001F449B">
      <w:pPr>
        <w:pStyle w:val="Caption"/>
        <w:rPr>
          <w:lang w:val="en-US"/>
        </w:rPr>
      </w:pPr>
      <w:bookmarkStart w:id="1" w:name="_Ref16689121"/>
      <w:r>
        <w:t xml:space="preserve">Proposal </w:t>
      </w:r>
      <w:r w:rsidR="001653D1">
        <w:rPr>
          <w:noProof/>
        </w:rPr>
        <w:fldChar w:fldCharType="begin"/>
      </w:r>
      <w:r w:rsidR="001653D1">
        <w:rPr>
          <w:noProof/>
        </w:rPr>
        <w:instrText xml:space="preserve"> SEQ Proposal \* ARABIC </w:instrText>
      </w:r>
      <w:r w:rsidR="001653D1">
        <w:rPr>
          <w:noProof/>
        </w:rPr>
        <w:fldChar w:fldCharType="separate"/>
      </w:r>
      <w:r w:rsidR="006009C1">
        <w:rPr>
          <w:noProof/>
        </w:rPr>
        <w:t>1</w:t>
      </w:r>
      <w:r w:rsidR="001653D1">
        <w:rPr>
          <w:noProof/>
        </w:rPr>
        <w:fldChar w:fldCharType="end"/>
      </w:r>
      <w:r>
        <w:t xml:space="preserve">: </w:t>
      </w:r>
      <w:r w:rsidRPr="001F449B">
        <w:t>If UE does not have the information on the indicated TCI-state to decode PDCCH and activated TCI-state to decode PDSCH in the new BWP, UE re-uses those TCI-state</w:t>
      </w:r>
      <w:r w:rsidR="00652356">
        <w:t>s</w:t>
      </w:r>
      <w:r w:rsidRPr="001F449B">
        <w:t xml:space="preserve"> in old BWP </w:t>
      </w:r>
      <w:r w:rsidR="00354567">
        <w:t>before</w:t>
      </w:r>
      <w:r w:rsidRPr="001F449B">
        <w:t xml:space="preserve"> new MAC CE is received to update the TCI-s</w:t>
      </w:r>
      <w:r w:rsidR="00652356">
        <w:t>t</w:t>
      </w:r>
      <w:r w:rsidRPr="001F449B">
        <w:t>ates for PDCCH and PDSCH.</w:t>
      </w:r>
      <w:bookmarkEnd w:id="1"/>
    </w:p>
    <w:p w14:paraId="584B4087" w14:textId="77777777" w:rsidR="000009BC" w:rsidRPr="00931B82" w:rsidRDefault="000009BC" w:rsidP="00931B82">
      <w:pPr>
        <w:rPr>
          <w:lang w:val="en-GB" w:eastAsia="en-US"/>
        </w:rPr>
      </w:pPr>
    </w:p>
    <w:p w14:paraId="3395AB8A" w14:textId="0C297437" w:rsidR="00931B82" w:rsidRPr="006308D1" w:rsidRDefault="00931B82" w:rsidP="00931B82">
      <w:pPr>
        <w:pStyle w:val="Heading4"/>
        <w:rPr>
          <w:b/>
        </w:rPr>
      </w:pPr>
      <w:r w:rsidRPr="006308D1">
        <w:rPr>
          <w:b/>
        </w:rPr>
        <w:t xml:space="preserve">2.2 Definition of RRC BWP </w:t>
      </w:r>
      <w:r w:rsidR="00A1791E">
        <w:rPr>
          <w:b/>
        </w:rPr>
        <w:t>S</w:t>
      </w:r>
      <w:r w:rsidRPr="006308D1">
        <w:rPr>
          <w:b/>
        </w:rPr>
        <w:t xml:space="preserve">witching </w:t>
      </w:r>
      <w:r w:rsidR="00A1791E">
        <w:rPr>
          <w:b/>
        </w:rPr>
        <w:t>R</w:t>
      </w:r>
      <w:r w:rsidRPr="006308D1">
        <w:rPr>
          <w:b/>
        </w:rPr>
        <w:t>equest</w:t>
      </w:r>
    </w:p>
    <w:p w14:paraId="1F36504F" w14:textId="2D75524A" w:rsidR="00931B82" w:rsidRDefault="00FF3095" w:rsidP="00931B82">
      <w:pPr>
        <w:rPr>
          <w:lang w:val="en-GB" w:eastAsia="en-US"/>
        </w:rPr>
      </w:pPr>
      <w:r>
        <w:rPr>
          <w:lang w:val="en-GB" w:eastAsia="en-US"/>
        </w:rPr>
        <w:t xml:space="preserve">According to an agreed WF [2], there are 2 cases of RRC-based BWP switch. </w:t>
      </w:r>
      <w:r w:rsidR="005E6565">
        <w:rPr>
          <w:lang w:val="en-GB" w:eastAsia="en-US"/>
        </w:rPr>
        <w:t>Both</w:t>
      </w:r>
      <w:r>
        <w:rPr>
          <w:lang w:val="en-GB" w:eastAsia="en-US"/>
        </w:rPr>
        <w:t xml:space="preserve"> Case 1 </w:t>
      </w:r>
      <w:r w:rsidR="005E6565">
        <w:rPr>
          <w:lang w:val="en-GB" w:eastAsia="en-US"/>
        </w:rPr>
        <w:t>and</w:t>
      </w:r>
      <w:r>
        <w:rPr>
          <w:lang w:val="en-GB" w:eastAsia="en-US"/>
        </w:rPr>
        <w:t xml:space="preserve"> Case 2 can be </w:t>
      </w:r>
      <w:r w:rsidR="001B65CB">
        <w:rPr>
          <w:lang w:val="en-GB" w:eastAsia="en-US"/>
        </w:rPr>
        <w:t>treated</w:t>
      </w:r>
      <w:r>
        <w:rPr>
          <w:lang w:val="en-GB" w:eastAsia="en-US"/>
        </w:rPr>
        <w:t xml:space="preserve"> </w:t>
      </w:r>
      <w:r w:rsidR="001B65CB">
        <w:rPr>
          <w:lang w:val="en-GB" w:eastAsia="en-US"/>
        </w:rPr>
        <w:t>as</w:t>
      </w:r>
      <w:bookmarkStart w:id="2" w:name="_GoBack"/>
      <w:bookmarkEnd w:id="2"/>
      <w:r>
        <w:rPr>
          <w:lang w:val="en-GB" w:eastAsia="en-US"/>
        </w:rPr>
        <w:t xml:space="preserve"> RRC-based BWP switch.</w:t>
      </w:r>
    </w:p>
    <w:tbl>
      <w:tblPr>
        <w:tblStyle w:val="TableGrid"/>
        <w:tblW w:w="0" w:type="auto"/>
        <w:tblInd w:w="284" w:type="dxa"/>
        <w:tblLook w:val="04A0" w:firstRow="1" w:lastRow="0" w:firstColumn="1" w:lastColumn="0" w:noHBand="0" w:noVBand="1"/>
      </w:tblPr>
      <w:tblGrid>
        <w:gridCol w:w="9345"/>
      </w:tblGrid>
      <w:tr w:rsidR="000E69A7" w14:paraId="59F53074" w14:textId="77777777" w:rsidTr="000E69A7">
        <w:tc>
          <w:tcPr>
            <w:tcW w:w="9629" w:type="dxa"/>
          </w:tcPr>
          <w:p w14:paraId="5EE5D2AD" w14:textId="77777777" w:rsidR="000E69A7" w:rsidRPr="000E69A7" w:rsidRDefault="000E69A7" w:rsidP="000E69A7">
            <w:pPr>
              <w:rPr>
                <w:lang w:eastAsia="en-US"/>
              </w:rPr>
            </w:pPr>
            <w:r w:rsidRPr="000E69A7">
              <w:rPr>
                <w:u w:val="single"/>
                <w:lang w:eastAsia="en-US"/>
              </w:rPr>
              <w:t xml:space="preserve">Case 1: </w:t>
            </w:r>
            <w:r w:rsidRPr="000E69A7">
              <w:rPr>
                <w:lang w:eastAsia="en-US"/>
              </w:rPr>
              <w:t>BWP switch to another existing BWP configuration</w:t>
            </w:r>
          </w:p>
          <w:p w14:paraId="31D022AC" w14:textId="77777777" w:rsidR="000F22DC" w:rsidRPr="000E69A7" w:rsidRDefault="004F3A55" w:rsidP="000E69A7">
            <w:pPr>
              <w:numPr>
                <w:ilvl w:val="2"/>
                <w:numId w:val="47"/>
              </w:numPr>
              <w:tabs>
                <w:tab w:val="clear" w:pos="2160"/>
              </w:tabs>
              <w:ind w:left="1163"/>
              <w:rPr>
                <w:lang w:eastAsia="en-US"/>
              </w:rPr>
            </w:pPr>
            <w:r w:rsidRPr="000E69A7">
              <w:rPr>
                <w:lang w:eastAsia="en-US"/>
              </w:rPr>
              <w:lastRenderedPageBreak/>
              <w:t>No change to any of the existing configured BWPs</w:t>
            </w:r>
          </w:p>
          <w:p w14:paraId="18CEE293" w14:textId="77777777" w:rsidR="000E69A7" w:rsidRPr="000E69A7" w:rsidRDefault="000E69A7" w:rsidP="000E69A7">
            <w:pPr>
              <w:rPr>
                <w:lang w:eastAsia="en-US"/>
              </w:rPr>
            </w:pPr>
            <w:r w:rsidRPr="000E69A7">
              <w:rPr>
                <w:u w:val="single"/>
                <w:lang w:eastAsia="en-US"/>
              </w:rPr>
              <w:t xml:space="preserve">Case 2: </w:t>
            </w:r>
            <w:r w:rsidRPr="000E69A7">
              <w:rPr>
                <w:lang w:eastAsia="en-US"/>
              </w:rPr>
              <w:t xml:space="preserve">BWP switch to a new BWP configured by the same RRC re-configuration signaling  </w:t>
            </w:r>
          </w:p>
          <w:p w14:paraId="1B4FA838" w14:textId="7A206347" w:rsidR="000E69A7" w:rsidRPr="000E69A7" w:rsidRDefault="004F3A55" w:rsidP="000E69A7">
            <w:pPr>
              <w:numPr>
                <w:ilvl w:val="2"/>
                <w:numId w:val="48"/>
              </w:numPr>
              <w:tabs>
                <w:tab w:val="clear" w:pos="2160"/>
                <w:tab w:val="num" w:pos="1871"/>
              </w:tabs>
              <w:ind w:left="1163"/>
              <w:rPr>
                <w:lang w:eastAsia="en-US"/>
              </w:rPr>
            </w:pPr>
            <w:r w:rsidRPr="000E69A7">
              <w:rPr>
                <w:lang w:eastAsia="en-US"/>
              </w:rPr>
              <w:t>New BWP configurations are added and activated with different parameters to current active BWP through RRC reconfiguration</w:t>
            </w:r>
          </w:p>
        </w:tc>
      </w:tr>
    </w:tbl>
    <w:p w14:paraId="09857437" w14:textId="47FC7C41" w:rsidR="003A28F0" w:rsidRDefault="0078153B" w:rsidP="00FF3095">
      <w:pPr>
        <w:rPr>
          <w:lang w:val="en-GB" w:eastAsia="en-US"/>
        </w:rPr>
      </w:pPr>
      <w:r>
        <w:rPr>
          <w:lang w:val="en-GB" w:eastAsia="en-US"/>
        </w:rPr>
        <w:lastRenderedPageBreak/>
        <w:t xml:space="preserve">However, in Section 8.6.3 of TS38.133, it is not very clear whether </w:t>
      </w:r>
      <w:r w:rsidRPr="0078153B">
        <w:rPr>
          <w:lang w:val="en-GB" w:eastAsia="en-US"/>
        </w:rPr>
        <w:t>BWP switching request</w:t>
      </w:r>
      <w:r>
        <w:rPr>
          <w:lang w:val="en-GB" w:eastAsia="en-US"/>
        </w:rPr>
        <w:t xml:space="preserve"> refers to Case 1 or Case 2 in [2]. Therefore, we suggest a clarification </w:t>
      </w:r>
      <w:r w:rsidR="006009C1">
        <w:rPr>
          <w:lang w:val="en-GB" w:eastAsia="en-US"/>
        </w:rPr>
        <w:t>to the current wording</w:t>
      </w:r>
      <w:r w:rsidR="00D96DF5">
        <w:rPr>
          <w:lang w:val="en-GB" w:eastAsia="en-US"/>
        </w:rPr>
        <w:t>, e.g.,</w:t>
      </w:r>
    </w:p>
    <w:p w14:paraId="767B4AED" w14:textId="59EB4BF8" w:rsidR="00FF3095" w:rsidRPr="006009C1" w:rsidRDefault="006009C1" w:rsidP="006009C1">
      <w:pPr>
        <w:ind w:left="568"/>
        <w:rPr>
          <w:i/>
          <w:lang w:val="en-GB" w:eastAsia="en-US"/>
        </w:rPr>
      </w:pPr>
      <w:r w:rsidRPr="006009C1">
        <w:rPr>
          <w:i/>
          <w:lang w:val="en-GB" w:eastAsia="en-US"/>
        </w:rPr>
        <w:t xml:space="preserve">For RRC-based BWP switch, after the UE receives RRC reconfiguration </w:t>
      </w:r>
      <w:r w:rsidRPr="006009C1">
        <w:rPr>
          <w:i/>
          <w:color w:val="C00000"/>
          <w:u w:val="single"/>
          <w:lang w:val="en-GB" w:eastAsia="en-US"/>
        </w:rPr>
        <w:t>involving active BWP switching</w:t>
      </w:r>
      <w:r>
        <w:rPr>
          <w:i/>
          <w:color w:val="C00000"/>
          <w:u w:val="single"/>
          <w:lang w:val="en-GB" w:eastAsia="en-US"/>
        </w:rPr>
        <w:t xml:space="preserve"> </w:t>
      </w:r>
      <w:r w:rsidRPr="006009C1">
        <w:rPr>
          <w:i/>
          <w:color w:val="C00000"/>
          <w:u w:val="single"/>
          <w:lang w:val="en-GB" w:eastAsia="en-US"/>
        </w:rPr>
        <w:t>or parameter change of its active BWP</w:t>
      </w:r>
      <w:r w:rsidRPr="006009C1">
        <w:rPr>
          <w:i/>
          <w:lang w:val="en-GB" w:eastAsia="en-US"/>
        </w:rPr>
        <w:t>, UE shall be able to …</w:t>
      </w:r>
    </w:p>
    <w:p w14:paraId="72F66BD8" w14:textId="49A6F4E4" w:rsidR="00FF3095" w:rsidRDefault="006009C1" w:rsidP="006009C1">
      <w:pPr>
        <w:pStyle w:val="Caption"/>
        <w:rPr>
          <w:lang w:val="en-GB" w:eastAsia="en-US"/>
        </w:rPr>
      </w:pPr>
      <w:bookmarkStart w:id="3" w:name="_Ref16689123"/>
      <w:r>
        <w:t xml:space="preserve">Proposal </w:t>
      </w:r>
      <w:r w:rsidR="001653D1">
        <w:rPr>
          <w:noProof/>
        </w:rPr>
        <w:fldChar w:fldCharType="begin"/>
      </w:r>
      <w:r w:rsidR="001653D1">
        <w:rPr>
          <w:noProof/>
        </w:rPr>
        <w:instrText xml:space="preserve"> SEQ Proposal \* ARABIC </w:instrText>
      </w:r>
      <w:r w:rsidR="001653D1">
        <w:rPr>
          <w:noProof/>
        </w:rPr>
        <w:fldChar w:fldCharType="separate"/>
      </w:r>
      <w:r>
        <w:rPr>
          <w:noProof/>
        </w:rPr>
        <w:t>2</w:t>
      </w:r>
      <w:r w:rsidR="001653D1">
        <w:rPr>
          <w:noProof/>
        </w:rPr>
        <w:fldChar w:fldCharType="end"/>
      </w:r>
      <w:r>
        <w:t xml:space="preserve">: RRC-based BWP switch involves </w:t>
      </w:r>
      <w:r w:rsidRPr="006009C1">
        <w:t>active BWP switching or parameter change of its active BWP</w:t>
      </w:r>
      <w:r w:rsidR="00216BEA">
        <w:t>.</w:t>
      </w:r>
      <w:bookmarkEnd w:id="3"/>
    </w:p>
    <w:p w14:paraId="72942026" w14:textId="77777777" w:rsidR="00FF3095" w:rsidRPr="00931B82" w:rsidRDefault="00FF3095" w:rsidP="00FF3095">
      <w:pPr>
        <w:rPr>
          <w:lang w:val="en-GB" w:eastAsia="en-US"/>
        </w:rPr>
      </w:pPr>
    </w:p>
    <w:p w14:paraId="39A959EA" w14:textId="4E36CEA5" w:rsidR="00931B82" w:rsidRPr="006308D1" w:rsidRDefault="00931B82" w:rsidP="00931B82">
      <w:pPr>
        <w:pStyle w:val="Heading4"/>
        <w:rPr>
          <w:b/>
        </w:rPr>
      </w:pPr>
      <w:r w:rsidRPr="006308D1">
        <w:rPr>
          <w:b/>
        </w:rPr>
        <w:t xml:space="preserve">2.3 </w:t>
      </w:r>
      <w:r w:rsidR="00A1791E">
        <w:rPr>
          <w:b/>
        </w:rPr>
        <w:t xml:space="preserve">Requirement </w:t>
      </w:r>
      <w:r w:rsidRPr="006308D1">
        <w:rPr>
          <w:b/>
        </w:rPr>
        <w:t xml:space="preserve">Applicability for </w:t>
      </w:r>
      <w:r w:rsidR="00A1791E">
        <w:rPr>
          <w:b/>
        </w:rPr>
        <w:t>M</w:t>
      </w:r>
      <w:r w:rsidRPr="006308D1">
        <w:rPr>
          <w:b/>
        </w:rPr>
        <w:t>ultiple CCs</w:t>
      </w:r>
    </w:p>
    <w:p w14:paraId="2A6DE146" w14:textId="1CA7287A" w:rsidR="009B25B1" w:rsidRPr="009B25B1" w:rsidRDefault="009B25B1" w:rsidP="009B25B1">
      <w:pPr>
        <w:pStyle w:val="CRCoverPage"/>
        <w:spacing w:after="0"/>
        <w:jc w:val="both"/>
        <w:rPr>
          <w:rFonts w:asciiTheme="minorHAnsi" w:eastAsiaTheme="minorEastAsia" w:hAnsiTheme="minorHAnsi" w:cstheme="minorBidi"/>
          <w:sz w:val="22"/>
          <w:szCs w:val="22"/>
        </w:rPr>
      </w:pPr>
      <w:r w:rsidRPr="009B25B1">
        <w:rPr>
          <w:rFonts w:asciiTheme="minorHAnsi" w:eastAsiaTheme="minorEastAsia" w:hAnsiTheme="minorHAnsi" w:cstheme="minorBidi"/>
          <w:sz w:val="22"/>
          <w:szCs w:val="22"/>
        </w:rPr>
        <w:t xml:space="preserve">It is ambiguous that whether the current delay requirement applies to the case where </w:t>
      </w:r>
      <w:r w:rsidR="00511C18">
        <w:rPr>
          <w:rFonts w:asciiTheme="minorHAnsi" w:eastAsiaTheme="minorEastAsia" w:hAnsiTheme="minorHAnsi" w:cstheme="minorBidi"/>
          <w:sz w:val="22"/>
          <w:szCs w:val="22"/>
        </w:rPr>
        <w:t xml:space="preserve">DCI/timer-based </w:t>
      </w:r>
      <w:r w:rsidRPr="009B25B1">
        <w:rPr>
          <w:rFonts w:asciiTheme="minorHAnsi" w:eastAsiaTheme="minorEastAsia" w:hAnsiTheme="minorHAnsi" w:cstheme="minorBidi"/>
          <w:sz w:val="22"/>
          <w:szCs w:val="22"/>
        </w:rPr>
        <w:t>BWP switch is performed only on a single CC or on multiple CCs at the same time</w:t>
      </w:r>
      <w:r w:rsidR="00B4469E">
        <w:rPr>
          <w:rFonts w:asciiTheme="minorHAnsi" w:eastAsiaTheme="minorEastAsia" w:hAnsiTheme="minorHAnsi" w:cstheme="minorBidi"/>
          <w:sz w:val="22"/>
          <w:szCs w:val="22"/>
        </w:rPr>
        <w:t>. Si</w:t>
      </w:r>
      <w:r w:rsidRPr="009B25B1">
        <w:rPr>
          <w:rFonts w:asciiTheme="minorHAnsi" w:eastAsiaTheme="minorEastAsia" w:hAnsiTheme="minorHAnsi" w:cstheme="minorBidi"/>
          <w:sz w:val="22"/>
          <w:szCs w:val="22"/>
        </w:rPr>
        <w:t>n</w:t>
      </w:r>
      <w:r w:rsidR="00B4469E">
        <w:rPr>
          <w:rFonts w:asciiTheme="minorHAnsi" w:eastAsiaTheme="minorEastAsia" w:hAnsiTheme="minorHAnsi" w:cstheme="minorBidi"/>
          <w:sz w:val="22"/>
          <w:szCs w:val="22"/>
        </w:rPr>
        <w:t>c</w:t>
      </w:r>
      <w:r w:rsidRPr="009B25B1">
        <w:rPr>
          <w:rFonts w:asciiTheme="minorHAnsi" w:eastAsiaTheme="minorEastAsia" w:hAnsiTheme="minorHAnsi" w:cstheme="minorBidi"/>
          <w:sz w:val="22"/>
          <w:szCs w:val="22"/>
        </w:rPr>
        <w:t xml:space="preserve">e the </w:t>
      </w:r>
      <w:r w:rsidR="00B4469E">
        <w:rPr>
          <w:rFonts w:asciiTheme="minorHAnsi" w:eastAsiaTheme="minorEastAsia" w:hAnsiTheme="minorHAnsi" w:cstheme="minorBidi"/>
          <w:sz w:val="22"/>
          <w:szCs w:val="22"/>
        </w:rPr>
        <w:t xml:space="preserve">delay and interruption </w:t>
      </w:r>
      <w:r w:rsidRPr="009B25B1">
        <w:rPr>
          <w:rFonts w:asciiTheme="minorHAnsi" w:eastAsiaTheme="minorEastAsia" w:hAnsiTheme="minorHAnsi" w:cstheme="minorBidi"/>
          <w:sz w:val="22"/>
          <w:szCs w:val="22"/>
        </w:rPr>
        <w:t>requirement</w:t>
      </w:r>
      <w:r w:rsidR="00B4469E">
        <w:rPr>
          <w:rFonts w:asciiTheme="minorHAnsi" w:eastAsiaTheme="minorEastAsia" w:hAnsiTheme="minorHAnsi" w:cstheme="minorBidi"/>
          <w:sz w:val="22"/>
          <w:szCs w:val="22"/>
        </w:rPr>
        <w:t>s</w:t>
      </w:r>
      <w:r w:rsidRPr="009B25B1">
        <w:rPr>
          <w:rFonts w:asciiTheme="minorHAnsi" w:eastAsiaTheme="minorEastAsia" w:hAnsiTheme="minorHAnsi" w:cstheme="minorBidi"/>
          <w:sz w:val="22"/>
          <w:szCs w:val="22"/>
        </w:rPr>
        <w:t xml:space="preserve"> for BWP switch for multiple CC</w:t>
      </w:r>
      <w:r w:rsidR="00B4469E">
        <w:rPr>
          <w:rFonts w:asciiTheme="minorHAnsi" w:eastAsiaTheme="minorEastAsia" w:hAnsiTheme="minorHAnsi" w:cstheme="minorBidi"/>
          <w:sz w:val="22"/>
          <w:szCs w:val="22"/>
        </w:rPr>
        <w:t>s</w:t>
      </w:r>
      <w:r w:rsidRPr="009B25B1">
        <w:rPr>
          <w:rFonts w:asciiTheme="minorHAnsi" w:eastAsiaTheme="minorEastAsia" w:hAnsiTheme="minorHAnsi" w:cstheme="minorBidi"/>
          <w:sz w:val="22"/>
          <w:szCs w:val="22"/>
        </w:rPr>
        <w:t xml:space="preserve"> will be discussed in R16</w:t>
      </w:r>
      <w:r>
        <w:rPr>
          <w:rFonts w:asciiTheme="minorHAnsi" w:eastAsiaTheme="minorEastAsia" w:hAnsiTheme="minorHAnsi" w:cstheme="minorBidi"/>
          <w:sz w:val="22"/>
          <w:szCs w:val="22"/>
        </w:rPr>
        <w:t xml:space="preserve"> [3]</w:t>
      </w:r>
      <w:r w:rsidRPr="009B25B1">
        <w:rPr>
          <w:rFonts w:asciiTheme="minorHAnsi" w:eastAsiaTheme="minorEastAsia" w:hAnsiTheme="minorHAnsi" w:cstheme="minorBidi"/>
          <w:sz w:val="22"/>
          <w:szCs w:val="22"/>
        </w:rPr>
        <w:t>. It is reasonable to consider the current requirement is only for BWP switch on a single CC</w:t>
      </w:r>
      <w:r w:rsidR="00511C18">
        <w:rPr>
          <w:rFonts w:asciiTheme="minorHAnsi" w:eastAsiaTheme="minorEastAsia" w:hAnsiTheme="minorHAnsi" w:cstheme="minorBidi"/>
          <w:sz w:val="22"/>
          <w:szCs w:val="22"/>
        </w:rPr>
        <w:t>.</w:t>
      </w:r>
    </w:p>
    <w:p w14:paraId="03EC55E0" w14:textId="7CFF1FF0" w:rsidR="00511C18" w:rsidRDefault="00511C18" w:rsidP="00511C18">
      <w:pPr>
        <w:pStyle w:val="Caption"/>
        <w:rPr>
          <w:lang w:val="en-GB" w:eastAsia="en-US"/>
        </w:rPr>
      </w:pPr>
      <w:bookmarkStart w:id="4" w:name="_Ref16689124"/>
      <w:r>
        <w:t xml:space="preserve">Proposal </w:t>
      </w:r>
      <w:r>
        <w:fldChar w:fldCharType="begin"/>
      </w:r>
      <w:r>
        <w:instrText xml:space="preserve"> SEQ Proposal \* ARABIC </w:instrText>
      </w:r>
      <w:r>
        <w:fldChar w:fldCharType="separate"/>
      </w:r>
      <w:r>
        <w:rPr>
          <w:noProof/>
        </w:rPr>
        <w:t>3</w:t>
      </w:r>
      <w:r>
        <w:fldChar w:fldCharType="end"/>
      </w:r>
      <w:r>
        <w:t xml:space="preserve">: The delay and interruption requirements for DCI/timer-based BWP involves </w:t>
      </w:r>
      <w:r w:rsidRPr="006009C1">
        <w:t>active BWP switching or parameter change of its active BWP</w:t>
      </w:r>
      <w:r>
        <w:t>.</w:t>
      </w:r>
      <w:bookmarkEnd w:id="4"/>
    </w:p>
    <w:p w14:paraId="7C6FC139" w14:textId="77777777" w:rsidR="00CE0D5E" w:rsidRPr="000C45FD" w:rsidRDefault="00141644" w:rsidP="00CE0D5E">
      <w:pPr>
        <w:pStyle w:val="Heading1"/>
        <w:numPr>
          <w:ilvl w:val="0"/>
          <w:numId w:val="2"/>
        </w:numPr>
        <w:rPr>
          <w:rFonts w:ascii="Calibri" w:hAnsi="Calibri"/>
          <w:lang w:eastAsia="zh-CN"/>
        </w:rPr>
      </w:pPr>
      <w:r>
        <w:rPr>
          <w:rFonts w:ascii="Calibri" w:hAnsi="Calibri"/>
        </w:rPr>
        <w:t>Summary</w:t>
      </w:r>
    </w:p>
    <w:p w14:paraId="16431192" w14:textId="5AFD8A5B" w:rsidR="006020B2" w:rsidRDefault="006F7557" w:rsidP="006020B2">
      <w:pPr>
        <w:adjustRightInd w:val="0"/>
        <w:snapToGrid w:val="0"/>
        <w:spacing w:before="180" w:after="120"/>
        <w:jc w:val="both"/>
      </w:pPr>
      <w:r w:rsidRPr="004D05A7">
        <w:rPr>
          <w:rFonts w:hint="eastAsia"/>
        </w:rPr>
        <w:t xml:space="preserve">In this </w:t>
      </w:r>
      <w:r w:rsidRPr="004D05A7">
        <w:t>paper,</w:t>
      </w:r>
      <w:r w:rsidR="00FB24ED">
        <w:rPr>
          <w:rFonts w:hint="eastAsia"/>
        </w:rPr>
        <w:t xml:space="preserve"> </w:t>
      </w:r>
      <w:r w:rsidR="00FB4E12">
        <w:t xml:space="preserve">we provide our view on 3 clarification issues about </w:t>
      </w:r>
      <w:r w:rsidR="00FB4E12" w:rsidRPr="00FB4E12">
        <w:t>TCI-state activation and indication in new BWP</w:t>
      </w:r>
      <w:r w:rsidR="00FB4E12">
        <w:t xml:space="preserve">, </w:t>
      </w:r>
      <w:r w:rsidR="00FB4E12" w:rsidRPr="00FB4E12">
        <w:t>Definition of RRC BWP Switching Request</w:t>
      </w:r>
      <w:r w:rsidR="00FB4E12">
        <w:t xml:space="preserve"> and </w:t>
      </w:r>
      <w:r w:rsidR="00FB4E12" w:rsidRPr="00FB4E12">
        <w:t>Requirement Applicability for Multiple CCs</w:t>
      </w:r>
      <w:r w:rsidR="00FB4E12">
        <w:t>. We have the following proposals.</w:t>
      </w:r>
    </w:p>
    <w:p w14:paraId="6A4D52B9" w14:textId="1AC2D659" w:rsidR="00FB4E12" w:rsidRPr="00FB4E12" w:rsidRDefault="00FB4E12" w:rsidP="006020B2">
      <w:pPr>
        <w:adjustRightInd w:val="0"/>
        <w:snapToGrid w:val="0"/>
        <w:spacing w:before="180" w:after="120"/>
        <w:jc w:val="both"/>
        <w:rPr>
          <w:b/>
          <w:i/>
        </w:rPr>
      </w:pPr>
      <w:r w:rsidRPr="00FB4E12">
        <w:rPr>
          <w:b/>
          <w:i/>
        </w:rPr>
        <w:fldChar w:fldCharType="begin"/>
      </w:r>
      <w:r w:rsidRPr="00FB4E12">
        <w:rPr>
          <w:b/>
          <w:i/>
        </w:rPr>
        <w:instrText xml:space="preserve"> REF _Ref16689121 \h  \* MERGEFORMAT </w:instrText>
      </w:r>
      <w:r w:rsidRPr="00FB4E12">
        <w:rPr>
          <w:b/>
          <w:i/>
        </w:rPr>
      </w:r>
      <w:r w:rsidRPr="00FB4E12">
        <w:rPr>
          <w:b/>
          <w:i/>
        </w:rPr>
        <w:fldChar w:fldCharType="separate"/>
      </w:r>
      <w:r w:rsidR="000439A4" w:rsidRPr="000439A4">
        <w:rPr>
          <w:b/>
          <w:i/>
        </w:rPr>
        <w:t xml:space="preserve">Proposal </w:t>
      </w:r>
      <w:r w:rsidR="000439A4" w:rsidRPr="000439A4">
        <w:rPr>
          <w:b/>
          <w:i/>
          <w:noProof/>
        </w:rPr>
        <w:t>1</w:t>
      </w:r>
      <w:r w:rsidR="000439A4" w:rsidRPr="000439A4">
        <w:rPr>
          <w:b/>
          <w:i/>
        </w:rPr>
        <w:t xml:space="preserve">: If UE does not have the information on the indicated TCI-state to decode PDCCH and activated TCI-state to decode PDSCH in the new BWP, UE re-uses those TCI-states in old BWP </w:t>
      </w:r>
      <w:r w:rsidR="00986C50">
        <w:rPr>
          <w:b/>
          <w:i/>
        </w:rPr>
        <w:t>before</w:t>
      </w:r>
      <w:r w:rsidR="000439A4" w:rsidRPr="000439A4">
        <w:rPr>
          <w:b/>
          <w:i/>
        </w:rPr>
        <w:t xml:space="preserve"> new MAC CE is received to update the TCI-states for PDCCH and PDSCH.</w:t>
      </w:r>
      <w:r w:rsidRPr="00FB4E12">
        <w:rPr>
          <w:b/>
          <w:i/>
        </w:rPr>
        <w:fldChar w:fldCharType="end"/>
      </w:r>
    </w:p>
    <w:p w14:paraId="3B10CDAF" w14:textId="280FFDD2" w:rsidR="00FB4E12" w:rsidRPr="00FB4E12" w:rsidRDefault="00FB4E12" w:rsidP="006020B2">
      <w:pPr>
        <w:adjustRightInd w:val="0"/>
        <w:snapToGrid w:val="0"/>
        <w:spacing w:before="180" w:after="120"/>
        <w:jc w:val="both"/>
        <w:rPr>
          <w:b/>
          <w:i/>
        </w:rPr>
      </w:pPr>
      <w:r w:rsidRPr="00FB4E12">
        <w:rPr>
          <w:b/>
          <w:i/>
        </w:rPr>
        <w:fldChar w:fldCharType="begin"/>
      </w:r>
      <w:r w:rsidRPr="00FB4E12">
        <w:rPr>
          <w:b/>
          <w:i/>
        </w:rPr>
        <w:instrText xml:space="preserve"> REF _Ref16689123 \h  \* MERGEFORMAT </w:instrText>
      </w:r>
      <w:r w:rsidRPr="00FB4E12">
        <w:rPr>
          <w:b/>
          <w:i/>
        </w:rPr>
      </w:r>
      <w:r w:rsidRPr="00FB4E12">
        <w:rPr>
          <w:b/>
          <w:i/>
        </w:rPr>
        <w:fldChar w:fldCharType="separate"/>
      </w:r>
      <w:r w:rsidRPr="00FB4E12">
        <w:rPr>
          <w:b/>
          <w:i/>
        </w:rPr>
        <w:t xml:space="preserve">Proposal </w:t>
      </w:r>
      <w:r w:rsidRPr="00FB4E12">
        <w:rPr>
          <w:b/>
          <w:i/>
          <w:noProof/>
        </w:rPr>
        <w:t>2</w:t>
      </w:r>
      <w:r w:rsidRPr="00FB4E12">
        <w:rPr>
          <w:b/>
          <w:i/>
        </w:rPr>
        <w:t>: RRC-based BWP switch involves active BWP switching or parameter change of its active BWP.</w:t>
      </w:r>
      <w:r w:rsidRPr="00FB4E12">
        <w:rPr>
          <w:b/>
          <w:i/>
        </w:rPr>
        <w:fldChar w:fldCharType="end"/>
      </w:r>
    </w:p>
    <w:p w14:paraId="746B2B53" w14:textId="100ADC91" w:rsidR="00A90CEE" w:rsidRDefault="00FB4E12" w:rsidP="00A90CEE">
      <w:pPr>
        <w:adjustRightInd w:val="0"/>
        <w:snapToGrid w:val="0"/>
        <w:spacing w:before="180" w:after="120"/>
        <w:jc w:val="both"/>
      </w:pPr>
      <w:r w:rsidRPr="00FB4E12">
        <w:rPr>
          <w:b/>
          <w:i/>
        </w:rPr>
        <w:fldChar w:fldCharType="begin"/>
      </w:r>
      <w:r w:rsidRPr="00FB4E12">
        <w:rPr>
          <w:b/>
          <w:i/>
        </w:rPr>
        <w:instrText xml:space="preserve"> REF _Ref16689124 \h  \* MERGEFORMAT </w:instrText>
      </w:r>
      <w:r w:rsidRPr="00FB4E12">
        <w:rPr>
          <w:b/>
          <w:i/>
        </w:rPr>
      </w:r>
      <w:r w:rsidRPr="00FB4E12">
        <w:rPr>
          <w:b/>
          <w:i/>
        </w:rPr>
        <w:fldChar w:fldCharType="separate"/>
      </w:r>
      <w:r w:rsidRPr="00FB4E12">
        <w:rPr>
          <w:b/>
          <w:i/>
        </w:rPr>
        <w:t xml:space="preserve">Proposal </w:t>
      </w:r>
      <w:r w:rsidRPr="00FB4E12">
        <w:rPr>
          <w:b/>
          <w:i/>
          <w:noProof/>
        </w:rPr>
        <w:t>3</w:t>
      </w:r>
      <w:r w:rsidRPr="00FB4E12">
        <w:rPr>
          <w:b/>
          <w:i/>
        </w:rPr>
        <w:t>: The delay and interruption requirements for DCI/timer-based BWP involves active BWP switching or parameter change of its active BWP.</w:t>
      </w:r>
      <w:r w:rsidRPr="00FB4E12">
        <w:rPr>
          <w:b/>
          <w:i/>
        </w:rPr>
        <w:fldChar w:fldCharType="end"/>
      </w:r>
    </w:p>
    <w:p w14:paraId="3943A132" w14:textId="6B4B55C6" w:rsidR="00627136" w:rsidRDefault="000F20AC" w:rsidP="00FB24ED">
      <w:pPr>
        <w:pStyle w:val="Heading1"/>
        <w:numPr>
          <w:ilvl w:val="0"/>
          <w:numId w:val="2"/>
        </w:numPr>
        <w:rPr>
          <w:rFonts w:ascii="Calibri" w:hAnsi="Calibri"/>
        </w:rPr>
      </w:pPr>
      <w:r w:rsidRPr="000C45FD">
        <w:rPr>
          <w:rFonts w:ascii="Calibri" w:hAnsi="Calibri"/>
        </w:rPr>
        <w:t>References</w:t>
      </w:r>
    </w:p>
    <w:p w14:paraId="36ED7ECA" w14:textId="554AE0D7" w:rsidR="00355BCB" w:rsidRPr="00965AC1" w:rsidRDefault="00355BCB" w:rsidP="004715D4">
      <w:pPr>
        <w:rPr>
          <w:lang w:eastAsia="en-US"/>
        </w:rPr>
      </w:pPr>
      <w:r w:rsidRPr="00965AC1">
        <w:rPr>
          <w:rFonts w:hint="eastAsia"/>
          <w:lang w:eastAsia="en-US"/>
        </w:rPr>
        <w:t xml:space="preserve">[1] </w:t>
      </w:r>
      <w:r w:rsidR="004715D4" w:rsidRPr="00965AC1">
        <w:rPr>
          <w:lang w:eastAsia="en-US"/>
        </w:rPr>
        <w:t>R4-1905590, “Discussion on the remaining issues on BWP switch delay”, Huawei, HiSilicon</w:t>
      </w:r>
    </w:p>
    <w:p w14:paraId="59B128DE" w14:textId="37CF3FDA" w:rsidR="00965AC1" w:rsidRPr="00965AC1" w:rsidRDefault="00965AC1" w:rsidP="00965AC1">
      <w:pPr>
        <w:jc w:val="both"/>
        <w:rPr>
          <w:lang w:eastAsia="en-US"/>
        </w:rPr>
      </w:pPr>
      <w:r w:rsidRPr="00965AC1">
        <w:rPr>
          <w:lang w:eastAsia="en-US"/>
        </w:rPr>
        <w:t>[2] R4-1816689,</w:t>
      </w:r>
      <w:r w:rsidR="000E69A7">
        <w:rPr>
          <w:lang w:eastAsia="en-US"/>
        </w:rPr>
        <w:t xml:space="preserve"> </w:t>
      </w:r>
      <w:r w:rsidRPr="00965AC1">
        <w:rPr>
          <w:lang w:eastAsia="en-US"/>
        </w:rPr>
        <w:t>“WF on RRC and MAC based BWP switching”, Nokia, Nokia Shanghai Bell, Mediatek Inc.</w:t>
      </w:r>
    </w:p>
    <w:p w14:paraId="080F96E6" w14:textId="6CD37A31" w:rsidR="00473CE5" w:rsidRDefault="009B25B1" w:rsidP="00473CE5">
      <w:pPr>
        <w:adjustRightInd w:val="0"/>
        <w:snapToGrid w:val="0"/>
        <w:spacing w:before="180" w:after="120"/>
        <w:jc w:val="both"/>
      </w:pPr>
      <w:r>
        <w:t xml:space="preserve">[3] </w:t>
      </w:r>
      <w:r w:rsidRPr="009B25B1">
        <w:t>RP-191601</w:t>
      </w:r>
      <w:r>
        <w:t>, “</w:t>
      </w:r>
      <w:r w:rsidRPr="009B25B1">
        <w:t>New WI Proposal: NR RRM enhancement in R16</w:t>
      </w:r>
      <w:r>
        <w:t xml:space="preserve">”, </w:t>
      </w:r>
      <w:r w:rsidRPr="009B25B1">
        <w:t>Intel Corporation</w:t>
      </w:r>
    </w:p>
    <w:p w14:paraId="3B3051ED" w14:textId="266A3329" w:rsidR="00CB5302" w:rsidRDefault="00CB5302" w:rsidP="00473CE5">
      <w:pPr>
        <w:adjustRightInd w:val="0"/>
        <w:snapToGrid w:val="0"/>
        <w:spacing w:before="180" w:after="120"/>
        <w:jc w:val="both"/>
      </w:pPr>
      <w:r w:rsidRPr="00751A6A">
        <w:t>[4] R4-</w:t>
      </w:r>
      <w:r w:rsidR="00751A6A" w:rsidRPr="00751A6A">
        <w:t>1908182</w:t>
      </w:r>
      <w:r w:rsidR="00751A6A">
        <w:t>, “</w:t>
      </w:r>
      <w:r w:rsidR="00751A6A" w:rsidRPr="00751A6A">
        <w:t>Clarification CR on BWP switch delay requirements (8.6)</w:t>
      </w:r>
      <w:r w:rsidR="00751A6A">
        <w:t>”, MediaTek inc</w:t>
      </w:r>
    </w:p>
    <w:p w14:paraId="76A901CB" w14:textId="1BC65E56" w:rsidR="00751A6A" w:rsidRDefault="00751A6A" w:rsidP="00751A6A">
      <w:pPr>
        <w:adjustRightInd w:val="0"/>
        <w:snapToGrid w:val="0"/>
        <w:spacing w:before="180" w:after="120"/>
        <w:jc w:val="both"/>
      </w:pPr>
      <w:r>
        <w:t xml:space="preserve">[5] </w:t>
      </w:r>
      <w:r w:rsidRPr="00751A6A">
        <w:t>R4-1908183</w:t>
      </w:r>
      <w:r>
        <w:t>, “</w:t>
      </w:r>
      <w:r w:rsidRPr="00751A6A">
        <w:t>Clarification CR on BWP switch interruption requirements (8.2)</w:t>
      </w:r>
      <w:r>
        <w:t>”, MediaTek inc</w:t>
      </w:r>
    </w:p>
    <w:p w14:paraId="2CEFA941" w14:textId="315BCB37" w:rsidR="00751A6A" w:rsidRDefault="00751A6A" w:rsidP="00473CE5">
      <w:pPr>
        <w:adjustRightInd w:val="0"/>
        <w:snapToGrid w:val="0"/>
        <w:spacing w:before="180" w:after="120"/>
        <w:jc w:val="both"/>
      </w:pPr>
    </w:p>
    <w:p w14:paraId="591CB2B2" w14:textId="24C90CD5" w:rsidR="00473CE5" w:rsidRDefault="00473CE5" w:rsidP="00473CE5">
      <w:pPr>
        <w:pStyle w:val="Heading1"/>
        <w:numPr>
          <w:ilvl w:val="0"/>
          <w:numId w:val="2"/>
        </w:numPr>
        <w:rPr>
          <w:rFonts w:ascii="Calibri" w:hAnsi="Calibri"/>
        </w:rPr>
      </w:pPr>
      <w:r>
        <w:rPr>
          <w:rFonts w:ascii="Calibri" w:hAnsi="Calibri"/>
        </w:rPr>
        <w:lastRenderedPageBreak/>
        <w:t>Appendix</w:t>
      </w:r>
    </w:p>
    <w:p w14:paraId="15200294" w14:textId="77777777" w:rsidR="00473CE5" w:rsidRPr="00355BCB" w:rsidRDefault="00473CE5" w:rsidP="004715D4">
      <w:pPr>
        <w:rPr>
          <w:lang w:eastAsia="en-US"/>
        </w:rPr>
      </w:pPr>
    </w:p>
    <w:sectPr w:rsidR="00473CE5" w:rsidRPr="00355B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ED011" w14:textId="77777777" w:rsidR="003D12F1" w:rsidRDefault="003D12F1">
      <w:r>
        <w:separator/>
      </w:r>
    </w:p>
  </w:endnote>
  <w:endnote w:type="continuationSeparator" w:id="0">
    <w:p w14:paraId="37E6BEFC" w14:textId="77777777" w:rsidR="003D12F1" w:rsidRDefault="003D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Capital TT">
    <w:altName w:val="Corbel"/>
    <w:charset w:val="00"/>
    <w:family w:val="auto"/>
    <w:pitch w:val="variable"/>
    <w:sig w:usb0="00000287" w:usb1="40000000" w:usb2="00000000" w:usb3="00000000" w:csb0="000000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9965F" w14:textId="77777777" w:rsidR="003D12F1" w:rsidRDefault="003D12F1">
      <w:r>
        <w:separator/>
      </w:r>
    </w:p>
  </w:footnote>
  <w:footnote w:type="continuationSeparator" w:id="0">
    <w:p w14:paraId="79FB55D7" w14:textId="77777777" w:rsidR="003D12F1" w:rsidRDefault="003D12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603FB"/>
    <w:multiLevelType w:val="hybridMultilevel"/>
    <w:tmpl w:val="C822756A"/>
    <w:lvl w:ilvl="0" w:tplc="04EAE53A">
      <w:start w:val="1"/>
      <w:numFmt w:val="bullet"/>
      <w:lvlText w:val="•"/>
      <w:lvlJc w:val="left"/>
      <w:pPr>
        <w:tabs>
          <w:tab w:val="num" w:pos="720"/>
        </w:tabs>
        <w:ind w:left="720" w:hanging="360"/>
      </w:pPr>
      <w:rPr>
        <w:rFonts w:ascii="Arial" w:hAnsi="Arial" w:hint="default"/>
      </w:rPr>
    </w:lvl>
    <w:lvl w:ilvl="1" w:tplc="77A8E130" w:tentative="1">
      <w:start w:val="1"/>
      <w:numFmt w:val="bullet"/>
      <w:lvlText w:val="•"/>
      <w:lvlJc w:val="left"/>
      <w:pPr>
        <w:tabs>
          <w:tab w:val="num" w:pos="1440"/>
        </w:tabs>
        <w:ind w:left="1440" w:hanging="360"/>
      </w:pPr>
      <w:rPr>
        <w:rFonts w:ascii="Arial" w:hAnsi="Arial" w:hint="default"/>
      </w:rPr>
    </w:lvl>
    <w:lvl w:ilvl="2" w:tplc="6DC82774">
      <w:start w:val="1"/>
      <w:numFmt w:val="bullet"/>
      <w:lvlText w:val="•"/>
      <w:lvlJc w:val="left"/>
      <w:pPr>
        <w:tabs>
          <w:tab w:val="num" w:pos="2160"/>
        </w:tabs>
        <w:ind w:left="2160" w:hanging="360"/>
      </w:pPr>
      <w:rPr>
        <w:rFonts w:ascii="Arial" w:hAnsi="Arial" w:hint="default"/>
      </w:rPr>
    </w:lvl>
    <w:lvl w:ilvl="3" w:tplc="E05CBEBC" w:tentative="1">
      <w:start w:val="1"/>
      <w:numFmt w:val="bullet"/>
      <w:lvlText w:val="•"/>
      <w:lvlJc w:val="left"/>
      <w:pPr>
        <w:tabs>
          <w:tab w:val="num" w:pos="2880"/>
        </w:tabs>
        <w:ind w:left="2880" w:hanging="360"/>
      </w:pPr>
      <w:rPr>
        <w:rFonts w:ascii="Arial" w:hAnsi="Arial" w:hint="default"/>
      </w:rPr>
    </w:lvl>
    <w:lvl w:ilvl="4" w:tplc="CD001A20" w:tentative="1">
      <w:start w:val="1"/>
      <w:numFmt w:val="bullet"/>
      <w:lvlText w:val="•"/>
      <w:lvlJc w:val="left"/>
      <w:pPr>
        <w:tabs>
          <w:tab w:val="num" w:pos="3600"/>
        </w:tabs>
        <w:ind w:left="3600" w:hanging="360"/>
      </w:pPr>
      <w:rPr>
        <w:rFonts w:ascii="Arial" w:hAnsi="Arial" w:hint="default"/>
      </w:rPr>
    </w:lvl>
    <w:lvl w:ilvl="5" w:tplc="B22278E2" w:tentative="1">
      <w:start w:val="1"/>
      <w:numFmt w:val="bullet"/>
      <w:lvlText w:val="•"/>
      <w:lvlJc w:val="left"/>
      <w:pPr>
        <w:tabs>
          <w:tab w:val="num" w:pos="4320"/>
        </w:tabs>
        <w:ind w:left="4320" w:hanging="360"/>
      </w:pPr>
      <w:rPr>
        <w:rFonts w:ascii="Arial" w:hAnsi="Arial" w:hint="default"/>
      </w:rPr>
    </w:lvl>
    <w:lvl w:ilvl="6" w:tplc="D07E30C4" w:tentative="1">
      <w:start w:val="1"/>
      <w:numFmt w:val="bullet"/>
      <w:lvlText w:val="•"/>
      <w:lvlJc w:val="left"/>
      <w:pPr>
        <w:tabs>
          <w:tab w:val="num" w:pos="5040"/>
        </w:tabs>
        <w:ind w:left="5040" w:hanging="360"/>
      </w:pPr>
      <w:rPr>
        <w:rFonts w:ascii="Arial" w:hAnsi="Arial" w:hint="default"/>
      </w:rPr>
    </w:lvl>
    <w:lvl w:ilvl="7" w:tplc="54B664D6" w:tentative="1">
      <w:start w:val="1"/>
      <w:numFmt w:val="bullet"/>
      <w:lvlText w:val="•"/>
      <w:lvlJc w:val="left"/>
      <w:pPr>
        <w:tabs>
          <w:tab w:val="num" w:pos="5760"/>
        </w:tabs>
        <w:ind w:left="5760" w:hanging="360"/>
      </w:pPr>
      <w:rPr>
        <w:rFonts w:ascii="Arial" w:hAnsi="Arial" w:hint="default"/>
      </w:rPr>
    </w:lvl>
    <w:lvl w:ilvl="8" w:tplc="DBBE9A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3"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B40D4"/>
    <w:multiLevelType w:val="hybridMultilevel"/>
    <w:tmpl w:val="694049FE"/>
    <w:lvl w:ilvl="0" w:tplc="6624E5F4">
      <w:start w:val="1"/>
      <w:numFmt w:val="bullet"/>
      <w:lvlText w:val="•"/>
      <w:lvlJc w:val="left"/>
      <w:pPr>
        <w:tabs>
          <w:tab w:val="num" w:pos="644"/>
        </w:tabs>
        <w:ind w:left="644" w:hanging="360"/>
      </w:pPr>
      <w:rPr>
        <w:rFonts w:ascii="Arial"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AB60DD"/>
    <w:multiLevelType w:val="hybridMultilevel"/>
    <w:tmpl w:val="A2869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1"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C47864"/>
    <w:multiLevelType w:val="hybridMultilevel"/>
    <w:tmpl w:val="E3BEAE72"/>
    <w:lvl w:ilvl="0" w:tplc="6624E5F4">
      <w:start w:val="1"/>
      <w:numFmt w:val="bullet"/>
      <w:lvlText w:val="•"/>
      <w:lvlJc w:val="left"/>
      <w:pPr>
        <w:tabs>
          <w:tab w:val="num" w:pos="644"/>
        </w:tabs>
        <w:ind w:left="644" w:hanging="360"/>
      </w:pPr>
      <w:rPr>
        <w:rFonts w:ascii="Arial"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97C5E"/>
    <w:multiLevelType w:val="hybridMultilevel"/>
    <w:tmpl w:val="EF0A1174"/>
    <w:lvl w:ilvl="0" w:tplc="6624E5F4">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3E6360"/>
    <w:multiLevelType w:val="hybridMultilevel"/>
    <w:tmpl w:val="2FA888D2"/>
    <w:lvl w:ilvl="0" w:tplc="70784B9C">
      <w:start w:val="1"/>
      <w:numFmt w:val="bullet"/>
      <w:lvlText w:val="•"/>
      <w:lvlJc w:val="left"/>
      <w:pPr>
        <w:tabs>
          <w:tab w:val="num" w:pos="720"/>
        </w:tabs>
        <w:ind w:left="720" w:hanging="360"/>
      </w:pPr>
      <w:rPr>
        <w:rFonts w:ascii="Arial" w:hAnsi="Arial" w:hint="default"/>
      </w:rPr>
    </w:lvl>
    <w:lvl w:ilvl="1" w:tplc="22D0F04E" w:tentative="1">
      <w:start w:val="1"/>
      <w:numFmt w:val="bullet"/>
      <w:lvlText w:val="•"/>
      <w:lvlJc w:val="left"/>
      <w:pPr>
        <w:tabs>
          <w:tab w:val="num" w:pos="1440"/>
        </w:tabs>
        <w:ind w:left="1440" w:hanging="360"/>
      </w:pPr>
      <w:rPr>
        <w:rFonts w:ascii="Arial" w:hAnsi="Arial" w:hint="default"/>
      </w:rPr>
    </w:lvl>
    <w:lvl w:ilvl="2" w:tplc="94283DEE">
      <w:start w:val="1"/>
      <w:numFmt w:val="bullet"/>
      <w:lvlText w:val="•"/>
      <w:lvlJc w:val="left"/>
      <w:pPr>
        <w:tabs>
          <w:tab w:val="num" w:pos="2160"/>
        </w:tabs>
        <w:ind w:left="2160" w:hanging="360"/>
      </w:pPr>
      <w:rPr>
        <w:rFonts w:ascii="Arial" w:hAnsi="Arial" w:hint="default"/>
      </w:rPr>
    </w:lvl>
    <w:lvl w:ilvl="3" w:tplc="2376E4FA" w:tentative="1">
      <w:start w:val="1"/>
      <w:numFmt w:val="bullet"/>
      <w:lvlText w:val="•"/>
      <w:lvlJc w:val="left"/>
      <w:pPr>
        <w:tabs>
          <w:tab w:val="num" w:pos="2880"/>
        </w:tabs>
        <w:ind w:left="2880" w:hanging="360"/>
      </w:pPr>
      <w:rPr>
        <w:rFonts w:ascii="Arial" w:hAnsi="Arial" w:hint="default"/>
      </w:rPr>
    </w:lvl>
    <w:lvl w:ilvl="4" w:tplc="EDEE4514" w:tentative="1">
      <w:start w:val="1"/>
      <w:numFmt w:val="bullet"/>
      <w:lvlText w:val="•"/>
      <w:lvlJc w:val="left"/>
      <w:pPr>
        <w:tabs>
          <w:tab w:val="num" w:pos="3600"/>
        </w:tabs>
        <w:ind w:left="3600" w:hanging="360"/>
      </w:pPr>
      <w:rPr>
        <w:rFonts w:ascii="Arial" w:hAnsi="Arial" w:hint="default"/>
      </w:rPr>
    </w:lvl>
    <w:lvl w:ilvl="5" w:tplc="9144839C" w:tentative="1">
      <w:start w:val="1"/>
      <w:numFmt w:val="bullet"/>
      <w:lvlText w:val="•"/>
      <w:lvlJc w:val="left"/>
      <w:pPr>
        <w:tabs>
          <w:tab w:val="num" w:pos="4320"/>
        </w:tabs>
        <w:ind w:left="4320" w:hanging="360"/>
      </w:pPr>
      <w:rPr>
        <w:rFonts w:ascii="Arial" w:hAnsi="Arial" w:hint="default"/>
      </w:rPr>
    </w:lvl>
    <w:lvl w:ilvl="6" w:tplc="9F5AE616" w:tentative="1">
      <w:start w:val="1"/>
      <w:numFmt w:val="bullet"/>
      <w:lvlText w:val="•"/>
      <w:lvlJc w:val="left"/>
      <w:pPr>
        <w:tabs>
          <w:tab w:val="num" w:pos="5040"/>
        </w:tabs>
        <w:ind w:left="5040" w:hanging="360"/>
      </w:pPr>
      <w:rPr>
        <w:rFonts w:ascii="Arial" w:hAnsi="Arial" w:hint="default"/>
      </w:rPr>
    </w:lvl>
    <w:lvl w:ilvl="7" w:tplc="9B7AFD1C" w:tentative="1">
      <w:start w:val="1"/>
      <w:numFmt w:val="bullet"/>
      <w:lvlText w:val="•"/>
      <w:lvlJc w:val="left"/>
      <w:pPr>
        <w:tabs>
          <w:tab w:val="num" w:pos="5760"/>
        </w:tabs>
        <w:ind w:left="5760" w:hanging="360"/>
      </w:pPr>
      <w:rPr>
        <w:rFonts w:ascii="Arial" w:hAnsi="Arial" w:hint="default"/>
      </w:rPr>
    </w:lvl>
    <w:lvl w:ilvl="8" w:tplc="A26ECA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6"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CB519D6"/>
    <w:multiLevelType w:val="hybridMultilevel"/>
    <w:tmpl w:val="53CAF648"/>
    <w:lvl w:ilvl="0" w:tplc="B99E7B28">
      <w:numFmt w:val="bullet"/>
      <w:lvlText w:val="–"/>
      <w:lvlJc w:val="left"/>
      <w:pPr>
        <w:ind w:left="360" w:hanging="360"/>
      </w:pPr>
      <w:rPr>
        <w:rFonts w:ascii="Ericsson Capital TT" w:hAnsi="Ericsson Capital T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2"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8"/>
  </w:num>
  <w:num w:numId="2">
    <w:abstractNumId w:val="40"/>
  </w:num>
  <w:num w:numId="3">
    <w:abstractNumId w:val="17"/>
  </w:num>
  <w:num w:numId="4">
    <w:abstractNumId w:val="26"/>
  </w:num>
  <w:num w:numId="5">
    <w:abstractNumId w:val="29"/>
  </w:num>
  <w:num w:numId="6">
    <w:abstractNumId w:val="8"/>
  </w:num>
  <w:num w:numId="7">
    <w:abstractNumId w:val="16"/>
  </w:num>
  <w:num w:numId="8">
    <w:abstractNumId w:val="36"/>
  </w:num>
  <w:num w:numId="9">
    <w:abstractNumId w:val="14"/>
  </w:num>
  <w:num w:numId="10">
    <w:abstractNumId w:val="0"/>
  </w:num>
  <w:num w:numId="11">
    <w:abstractNumId w:val="15"/>
  </w:num>
  <w:num w:numId="12">
    <w:abstractNumId w:val="21"/>
  </w:num>
  <w:num w:numId="13">
    <w:abstractNumId w:val="4"/>
  </w:num>
  <w:num w:numId="14">
    <w:abstractNumId w:val="46"/>
  </w:num>
  <w:num w:numId="15">
    <w:abstractNumId w:val="13"/>
  </w:num>
  <w:num w:numId="16">
    <w:abstractNumId w:val="7"/>
  </w:num>
  <w:num w:numId="17">
    <w:abstractNumId w:val="33"/>
  </w:num>
  <w:num w:numId="18">
    <w:abstractNumId w:val="44"/>
  </w:num>
  <w:num w:numId="19">
    <w:abstractNumId w:val="19"/>
  </w:num>
  <w:num w:numId="20">
    <w:abstractNumId w:val="11"/>
  </w:num>
  <w:num w:numId="21">
    <w:abstractNumId w:val="43"/>
  </w:num>
  <w:num w:numId="22">
    <w:abstractNumId w:val="34"/>
  </w:num>
  <w:num w:numId="23">
    <w:abstractNumId w:val="9"/>
  </w:num>
  <w:num w:numId="24">
    <w:abstractNumId w:val="5"/>
  </w:num>
  <w:num w:numId="25">
    <w:abstractNumId w:val="25"/>
  </w:num>
  <w:num w:numId="26">
    <w:abstractNumId w:val="41"/>
  </w:num>
  <w:num w:numId="27">
    <w:abstractNumId w:val="32"/>
  </w:num>
  <w:num w:numId="28">
    <w:abstractNumId w:val="22"/>
  </w:num>
  <w:num w:numId="29">
    <w:abstractNumId w:val="23"/>
  </w:num>
  <w:num w:numId="30">
    <w:abstractNumId w:val="12"/>
  </w:num>
  <w:num w:numId="31">
    <w:abstractNumId w:val="37"/>
  </w:num>
  <w:num w:numId="32">
    <w:abstractNumId w:val="20"/>
  </w:num>
  <w:num w:numId="33">
    <w:abstractNumId w:val="2"/>
  </w:num>
  <w:num w:numId="34">
    <w:abstractNumId w:val="28"/>
  </w:num>
  <w:num w:numId="35">
    <w:abstractNumId w:val="47"/>
  </w:num>
  <w:num w:numId="36">
    <w:abstractNumId w:val="35"/>
  </w:num>
  <w:num w:numId="37">
    <w:abstractNumId w:val="45"/>
  </w:num>
  <w:num w:numId="38">
    <w:abstractNumId w:val="3"/>
  </w:num>
  <w:num w:numId="39">
    <w:abstractNumId w:val="10"/>
  </w:num>
  <w:num w:numId="40">
    <w:abstractNumId w:val="42"/>
  </w:num>
  <w:num w:numId="41">
    <w:abstractNumId w:val="31"/>
  </w:num>
  <w:num w:numId="42">
    <w:abstractNumId w:val="27"/>
  </w:num>
  <w:num w:numId="43">
    <w:abstractNumId w:val="27"/>
  </w:num>
  <w:num w:numId="44">
    <w:abstractNumId w:val="24"/>
  </w:num>
  <w:num w:numId="45">
    <w:abstractNumId w:val="6"/>
  </w:num>
  <w:num w:numId="46">
    <w:abstractNumId w:val="39"/>
  </w:num>
  <w:num w:numId="47">
    <w:abstractNumId w:val="1"/>
  </w:num>
  <w:num w:numId="48">
    <w:abstractNumId w:val="30"/>
  </w:num>
  <w:num w:numId="4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9BC"/>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373"/>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39A4"/>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083"/>
    <w:rsid w:val="000E69A7"/>
    <w:rsid w:val="000E6E5C"/>
    <w:rsid w:val="000E706C"/>
    <w:rsid w:val="000E7AFA"/>
    <w:rsid w:val="000F0786"/>
    <w:rsid w:val="000F0E8B"/>
    <w:rsid w:val="000F1031"/>
    <w:rsid w:val="000F1B61"/>
    <w:rsid w:val="000F20AC"/>
    <w:rsid w:val="000F22D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73A9"/>
    <w:rsid w:val="00127B1D"/>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1D"/>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3D1"/>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5CB"/>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49B"/>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BEA"/>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393"/>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1E90"/>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67"/>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9E4"/>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268"/>
    <w:rsid w:val="003A2455"/>
    <w:rsid w:val="003A2819"/>
    <w:rsid w:val="003A28F0"/>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2F1"/>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5D4"/>
    <w:rsid w:val="00471A07"/>
    <w:rsid w:val="004721D5"/>
    <w:rsid w:val="004724E0"/>
    <w:rsid w:val="004726E2"/>
    <w:rsid w:val="00472DBC"/>
    <w:rsid w:val="00473924"/>
    <w:rsid w:val="00473CE5"/>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9AE"/>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A55"/>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C18"/>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0E5"/>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AA7"/>
    <w:rsid w:val="00532B17"/>
    <w:rsid w:val="0053328B"/>
    <w:rsid w:val="0053343A"/>
    <w:rsid w:val="005339B1"/>
    <w:rsid w:val="00533AC2"/>
    <w:rsid w:val="00533E88"/>
    <w:rsid w:val="00533E99"/>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7FB"/>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AB3"/>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65"/>
    <w:rsid w:val="005E65D7"/>
    <w:rsid w:val="005E672F"/>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9C1"/>
    <w:rsid w:val="00600D82"/>
    <w:rsid w:val="006017E3"/>
    <w:rsid w:val="00601914"/>
    <w:rsid w:val="006020B2"/>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6E4F"/>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8D1"/>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356"/>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242"/>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17CCF"/>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A6A"/>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153B"/>
    <w:rsid w:val="0078176F"/>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1B8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67D"/>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5AC1"/>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50"/>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5B1"/>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A8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4E22"/>
    <w:rsid w:val="009F5A15"/>
    <w:rsid w:val="009F6437"/>
    <w:rsid w:val="009F7762"/>
    <w:rsid w:val="009F77D3"/>
    <w:rsid w:val="009F78C2"/>
    <w:rsid w:val="009F7D66"/>
    <w:rsid w:val="00A00F75"/>
    <w:rsid w:val="00A0115D"/>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1791E"/>
    <w:rsid w:val="00A2024B"/>
    <w:rsid w:val="00A20D4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2FF"/>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69E"/>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69B"/>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65EB"/>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16E"/>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302"/>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032"/>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3E8"/>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0F07"/>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6DF5"/>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4C9E"/>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372B"/>
    <w:rsid w:val="00EA40D5"/>
    <w:rsid w:val="00EA43F9"/>
    <w:rsid w:val="00EA461F"/>
    <w:rsid w:val="00EA51D3"/>
    <w:rsid w:val="00EA5EFD"/>
    <w:rsid w:val="00EA61F9"/>
    <w:rsid w:val="00EA6600"/>
    <w:rsid w:val="00EA6BD8"/>
    <w:rsid w:val="00EA6EEB"/>
    <w:rsid w:val="00EA7120"/>
    <w:rsid w:val="00EA73A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6F4"/>
    <w:rsid w:val="00F14F43"/>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67E21"/>
    <w:rsid w:val="00F700F3"/>
    <w:rsid w:val="00F703DB"/>
    <w:rsid w:val="00F7082C"/>
    <w:rsid w:val="00F71595"/>
    <w:rsid w:val="00F7171B"/>
    <w:rsid w:val="00F71FA3"/>
    <w:rsid w:val="00F7223D"/>
    <w:rsid w:val="00F723AE"/>
    <w:rsid w:val="00F726A0"/>
    <w:rsid w:val="00F73D49"/>
    <w:rsid w:val="00F73DA9"/>
    <w:rsid w:val="00F74085"/>
    <w:rsid w:val="00F7434C"/>
    <w:rsid w:val="00F74F40"/>
    <w:rsid w:val="00F75642"/>
    <w:rsid w:val="00F75BBC"/>
    <w:rsid w:val="00F761BD"/>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4E12"/>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095"/>
    <w:rsid w:val="00FF35D1"/>
    <w:rsid w:val="00FF3A23"/>
    <w:rsid w:val="00FF3D60"/>
    <w:rsid w:val="00FF4907"/>
    <w:rsid w:val="00FF560E"/>
    <w:rsid w:val="00FF5F72"/>
    <w:rsid w:val="00FF60E0"/>
    <w:rsid w:val="00FF628E"/>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56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545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456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844027">
      <w:bodyDiv w:val="1"/>
      <w:marLeft w:val="0"/>
      <w:marRight w:val="0"/>
      <w:marTop w:val="0"/>
      <w:marBottom w:val="0"/>
      <w:divBdr>
        <w:top w:val="none" w:sz="0" w:space="0" w:color="auto"/>
        <w:left w:val="none" w:sz="0" w:space="0" w:color="auto"/>
        <w:bottom w:val="none" w:sz="0" w:space="0" w:color="auto"/>
        <w:right w:val="none" w:sz="0" w:space="0" w:color="auto"/>
      </w:divBdr>
      <w:divsChild>
        <w:div w:id="2102942558">
          <w:marLeft w:val="1714"/>
          <w:marRight w:val="0"/>
          <w:marTop w:val="106"/>
          <w:marBottom w:val="0"/>
          <w:divBdr>
            <w:top w:val="none" w:sz="0" w:space="0" w:color="auto"/>
            <w:left w:val="none" w:sz="0" w:space="0" w:color="auto"/>
            <w:bottom w:val="none" w:sz="0" w:space="0" w:color="auto"/>
            <w:right w:val="none" w:sz="0" w:space="0" w:color="auto"/>
          </w:divBdr>
        </w:div>
        <w:div w:id="1000502551">
          <w:marLeft w:val="1714"/>
          <w:marRight w:val="0"/>
          <w:marTop w:val="106"/>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5320205">
      <w:bodyDiv w:val="1"/>
      <w:marLeft w:val="0"/>
      <w:marRight w:val="0"/>
      <w:marTop w:val="0"/>
      <w:marBottom w:val="0"/>
      <w:divBdr>
        <w:top w:val="none" w:sz="0" w:space="0" w:color="auto"/>
        <w:left w:val="none" w:sz="0" w:space="0" w:color="auto"/>
        <w:bottom w:val="none" w:sz="0" w:space="0" w:color="auto"/>
        <w:right w:val="none" w:sz="0" w:space="0" w:color="auto"/>
      </w:divBdr>
    </w:div>
    <w:div w:id="82786084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1E201-3A35-4DBF-9FD8-69D64B947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2019-08-16T08:23:00Z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